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53CCCE" w14:textId="59397762" w:rsidR="00E7663A" w:rsidRPr="00E7663A" w:rsidRDefault="00E7663A" w:rsidP="00E7663A">
      <w:pPr>
        <w:shd w:val="clear" w:color="auto" w:fill="FFFFFF"/>
        <w:spacing w:before="0" w:after="0"/>
        <w:ind w:firstLine="0"/>
        <w:outlineLvl w:val="2"/>
        <w:rPr>
          <w:rFonts w:ascii="inherit" w:eastAsia="Times New Roman" w:hAnsi="inherit" w:cs="Times New Roman"/>
          <w:b/>
          <w:bCs/>
          <w:color w:val="293A55"/>
          <w:sz w:val="30"/>
          <w:szCs w:val="30"/>
          <w:lang w:eastAsia="uk-UA"/>
        </w:rPr>
      </w:pPr>
      <w:bookmarkStart w:id="0" w:name="_GoBack"/>
      <w:bookmarkEnd w:id="0"/>
      <w:r w:rsidRPr="00E7663A">
        <w:rPr>
          <w:rFonts w:ascii="inherit" w:eastAsia="Times New Roman" w:hAnsi="inherit" w:cs="Times New Roman"/>
          <w:b/>
          <w:bCs/>
          <w:i/>
          <w:iCs/>
          <w:color w:val="293A55"/>
          <w:sz w:val="30"/>
          <w:szCs w:val="30"/>
          <w:lang w:eastAsia="uk-UA"/>
        </w:rPr>
        <w:t>Методологічні рекомендації щодо розрахунку ринкової (референтної) ставки та грошового еквіваленту державної допомоги</w:t>
      </w:r>
    </w:p>
    <w:p w14:paraId="30E4D44D" w14:textId="77777777" w:rsidR="00E7663A" w:rsidRPr="00E7663A" w:rsidRDefault="00E7663A" w:rsidP="00E7663A">
      <w:pPr>
        <w:shd w:val="clear" w:color="auto" w:fill="FFFFFF"/>
        <w:spacing w:before="0" w:after="0"/>
        <w:ind w:firstLine="0"/>
        <w:rPr>
          <w:rFonts w:ascii="IBM Plex Serif" w:eastAsia="Times New Roman" w:hAnsi="IBM Plex Serif" w:cs="Times New Roman"/>
          <w:color w:val="293A55"/>
          <w:sz w:val="24"/>
          <w:szCs w:val="24"/>
          <w:lang w:eastAsia="uk-UA"/>
        </w:rPr>
      </w:pPr>
      <w:r w:rsidRPr="00E7663A">
        <w:rPr>
          <w:rFonts w:ascii="IBM Plex Serif" w:eastAsia="Times New Roman" w:hAnsi="IBM Plex Serif" w:cs="Times New Roman"/>
          <w:color w:val="293A55"/>
          <w:sz w:val="24"/>
          <w:szCs w:val="24"/>
          <w:lang w:eastAsia="uk-UA"/>
        </w:rPr>
        <w:t>Для розрахунку суми державної допомоги у формі гарантії потрібно порівняти ринкову (референтну) відсоткову ставку за кредитом, яку б сплачувало підприємство без гарантії, та фактичну відсоткову ставку, отриману шляхом застосування державної гарантії, з урахуванням будь-яких комісій, сплачених за гарантію. Тобто елемент державної допомоги полягатиме в різниці між ринковою ціною наданої гарантії та фактичною ціною, встановленою для такої гарантії. Якщо ринкові ціни для відповідних гарантій недоступні, елемент допомоги розраховується як для гарантованої позики на основі різниці між ринковою відсотковою ставкою для аналогічної негарантованої позики для цього позичальника та фактичною відсотковою ставкою, яка передбачена позичальнику для гарантованої позики, з урахуванням плати за гарантію. Якщо ринкова ставка для позики недоступна, замість неї використовується референтна ставка, яка відображає ринковий рівень ставки для кожного окремого позичальника.</w:t>
      </w:r>
    </w:p>
    <w:p w14:paraId="55B1632A" w14:textId="77777777" w:rsidR="00E7663A" w:rsidRPr="00E7663A" w:rsidRDefault="00E7663A" w:rsidP="00E7663A">
      <w:pPr>
        <w:shd w:val="clear" w:color="auto" w:fill="FFFFFF"/>
        <w:spacing w:before="0" w:after="0"/>
        <w:ind w:firstLine="0"/>
        <w:rPr>
          <w:rFonts w:ascii="IBM Plex Serif" w:eastAsia="Times New Roman" w:hAnsi="IBM Plex Serif" w:cs="Times New Roman"/>
          <w:color w:val="293A55"/>
          <w:sz w:val="24"/>
          <w:szCs w:val="24"/>
          <w:lang w:eastAsia="uk-UA"/>
        </w:rPr>
      </w:pPr>
      <w:r w:rsidRPr="00E7663A">
        <w:rPr>
          <w:rFonts w:ascii="IBM Plex Serif" w:eastAsia="Times New Roman" w:hAnsi="IBM Plex Serif" w:cs="Times New Roman"/>
          <w:color w:val="293A55"/>
          <w:sz w:val="24"/>
          <w:szCs w:val="24"/>
          <w:lang w:eastAsia="uk-UA"/>
        </w:rPr>
        <w:t>Для розрахунку ринкової (референтної) відсоткової ставки за кредитом, яку б сплачувало підприємство без гарантії, Комітет застосовує один із підходів, установлених Європейською комісією в Повідомленні Комісії про перегляд методу встановлення референтних ставок та облікових ставок (2008/C 14/02) (далі - Повідомлення щодо референтної ставки).</w:t>
      </w:r>
    </w:p>
    <w:p w14:paraId="11363041" w14:textId="77777777" w:rsidR="00E7663A" w:rsidRPr="00E7663A" w:rsidRDefault="00E7663A" w:rsidP="00E7663A">
      <w:pPr>
        <w:shd w:val="clear" w:color="auto" w:fill="FFFFFF"/>
        <w:spacing w:before="0" w:after="0"/>
        <w:ind w:firstLine="0"/>
        <w:rPr>
          <w:rFonts w:ascii="IBM Plex Serif" w:eastAsia="Times New Roman" w:hAnsi="IBM Plex Serif" w:cs="Times New Roman"/>
          <w:color w:val="293A55"/>
          <w:sz w:val="24"/>
          <w:szCs w:val="24"/>
          <w:lang w:eastAsia="uk-UA"/>
        </w:rPr>
      </w:pPr>
      <w:r w:rsidRPr="00E7663A">
        <w:rPr>
          <w:rFonts w:ascii="IBM Plex Serif" w:eastAsia="Times New Roman" w:hAnsi="IBM Plex Serif" w:cs="Times New Roman"/>
          <w:color w:val="293A55"/>
          <w:sz w:val="24"/>
          <w:szCs w:val="24"/>
          <w:lang w:eastAsia="uk-UA"/>
        </w:rPr>
        <w:t>Аналізуючи Повідомлення щодо референтної ставки, можна виокремити таку формулу визначення ринкової (референтної) ставки:</w:t>
      </w:r>
    </w:p>
    <w:p w14:paraId="66E5F9F7" w14:textId="77777777" w:rsidR="00E7663A" w:rsidRPr="00E7663A" w:rsidRDefault="00E7663A" w:rsidP="00E7663A">
      <w:pPr>
        <w:shd w:val="clear" w:color="auto" w:fill="FFFFFF"/>
        <w:spacing w:before="0" w:after="0"/>
        <w:ind w:firstLine="0"/>
        <w:jc w:val="center"/>
        <w:rPr>
          <w:rFonts w:ascii="IBM Plex Serif" w:eastAsia="Times New Roman" w:hAnsi="IBM Plex Serif" w:cs="Times New Roman"/>
          <w:color w:val="293A55"/>
          <w:sz w:val="24"/>
          <w:szCs w:val="24"/>
          <w:lang w:eastAsia="uk-UA"/>
        </w:rPr>
      </w:pPr>
      <w:r w:rsidRPr="00E7663A">
        <w:rPr>
          <w:rFonts w:ascii="IBM Plex Serif" w:eastAsia="Times New Roman" w:hAnsi="IBM Plex Serif" w:cs="Times New Roman"/>
          <w:b/>
          <w:bCs/>
          <w:color w:val="293A55"/>
          <w:sz w:val="24"/>
          <w:szCs w:val="24"/>
          <w:lang w:eastAsia="uk-UA"/>
        </w:rPr>
        <w:t>Ринкова (референтна) ставка = базова ставка + маржа</w:t>
      </w:r>
    </w:p>
    <w:p w14:paraId="1FB35618" w14:textId="77777777" w:rsidR="00E7663A" w:rsidRPr="00E7663A" w:rsidRDefault="00E7663A" w:rsidP="00E7663A">
      <w:pPr>
        <w:shd w:val="clear" w:color="auto" w:fill="FFFFFF"/>
        <w:spacing w:before="0" w:after="0"/>
        <w:ind w:firstLine="0"/>
        <w:rPr>
          <w:rFonts w:ascii="IBM Plex Serif" w:eastAsia="Times New Roman" w:hAnsi="IBM Plex Serif" w:cs="Times New Roman"/>
          <w:color w:val="293A55"/>
          <w:sz w:val="24"/>
          <w:szCs w:val="24"/>
          <w:lang w:eastAsia="uk-UA"/>
        </w:rPr>
      </w:pPr>
      <w:r w:rsidRPr="00E7663A">
        <w:rPr>
          <w:rFonts w:ascii="IBM Plex Serif" w:eastAsia="Times New Roman" w:hAnsi="IBM Plex Serif" w:cs="Times New Roman"/>
          <w:color w:val="293A55"/>
          <w:sz w:val="24"/>
          <w:szCs w:val="24"/>
          <w:lang w:eastAsia="uk-UA"/>
        </w:rPr>
        <w:t>Відповідно до Повідомлення щодо ринкової (референтної) ставки, за загальним правилом базова ставка повинна ґрунтуватися на однорічних ставках грошового кредиту (1-річний IBOR). Разом із тим Європейська комісія залишає за собою право використовувати коротші або довші терміни погашення, адаптовані до певних випадків.</w:t>
      </w:r>
    </w:p>
    <w:p w14:paraId="3DFA96A2" w14:textId="77777777" w:rsidR="00E7663A" w:rsidRPr="00E7663A" w:rsidRDefault="00E7663A" w:rsidP="00E7663A">
      <w:pPr>
        <w:shd w:val="clear" w:color="auto" w:fill="FFFFFF"/>
        <w:spacing w:before="0" w:after="0"/>
        <w:ind w:firstLine="0"/>
        <w:rPr>
          <w:rFonts w:ascii="IBM Plex Serif" w:eastAsia="Times New Roman" w:hAnsi="IBM Plex Serif" w:cs="Times New Roman"/>
          <w:color w:val="293A55"/>
          <w:sz w:val="24"/>
          <w:szCs w:val="24"/>
          <w:lang w:eastAsia="uk-UA"/>
        </w:rPr>
      </w:pPr>
      <w:r w:rsidRPr="00E7663A">
        <w:rPr>
          <w:rFonts w:ascii="IBM Plex Serif" w:eastAsia="Times New Roman" w:hAnsi="IBM Plex Serif" w:cs="Times New Roman"/>
          <w:color w:val="293A55"/>
          <w:sz w:val="24"/>
          <w:szCs w:val="24"/>
          <w:lang w:eastAsia="uk-UA"/>
        </w:rPr>
        <w:t>Базова ставка за кредитами в євро може</w:t>
      </w:r>
      <w:r w:rsidRPr="00E7663A">
        <w:rPr>
          <w:rFonts w:ascii="IBM Plex Serif" w:eastAsia="Times New Roman" w:hAnsi="IBM Plex Serif" w:cs="Times New Roman"/>
          <w:color w:val="293A55"/>
          <w:sz w:val="18"/>
          <w:szCs w:val="18"/>
          <w:vertAlign w:val="superscript"/>
          <w:lang w:eastAsia="uk-UA"/>
        </w:rPr>
        <w:t>1</w:t>
      </w:r>
      <w:r w:rsidRPr="00E7663A">
        <w:rPr>
          <w:rFonts w:ascii="IBM Plex Serif" w:eastAsia="Times New Roman" w:hAnsi="IBM Plex Serif" w:cs="Times New Roman"/>
          <w:color w:val="293A55"/>
          <w:sz w:val="24"/>
          <w:szCs w:val="24"/>
          <w:lang w:eastAsia="uk-UA"/>
        </w:rPr>
        <w:t> розраховуватися на основі українського індексу ставок за депозитами фізичних осіб (UIRD 12M), який розміщено за таким посиланням: https://index.minfin.com.ua/ua/banks/deposit/index/</w:t>
      </w:r>
    </w:p>
    <w:p w14:paraId="51719C5E" w14:textId="77777777" w:rsidR="00E7663A" w:rsidRPr="00E7663A" w:rsidRDefault="00E7663A" w:rsidP="00E7663A">
      <w:pPr>
        <w:shd w:val="clear" w:color="auto" w:fill="FFFFFF"/>
        <w:spacing w:before="0" w:after="0"/>
        <w:ind w:firstLine="0"/>
        <w:rPr>
          <w:rFonts w:ascii="IBM Plex Serif" w:eastAsia="Times New Roman" w:hAnsi="IBM Plex Serif" w:cs="Times New Roman"/>
          <w:color w:val="293A55"/>
          <w:sz w:val="24"/>
          <w:szCs w:val="24"/>
          <w:lang w:eastAsia="uk-UA"/>
        </w:rPr>
      </w:pPr>
      <w:r w:rsidRPr="00E7663A">
        <w:rPr>
          <w:rFonts w:ascii="IBM Plex Serif" w:eastAsia="Times New Roman" w:hAnsi="IBM Plex Serif" w:cs="Times New Roman"/>
          <w:color w:val="293A55"/>
          <w:sz w:val="24"/>
          <w:szCs w:val="24"/>
          <w:lang w:eastAsia="uk-UA"/>
        </w:rPr>
        <w:t>____________</w:t>
      </w:r>
      <w:r w:rsidRPr="00E7663A">
        <w:rPr>
          <w:rFonts w:ascii="IBM Plex Serif" w:eastAsia="Times New Roman" w:hAnsi="IBM Plex Serif" w:cs="Times New Roman"/>
          <w:color w:val="293A55"/>
          <w:sz w:val="24"/>
          <w:szCs w:val="24"/>
          <w:lang w:eastAsia="uk-UA"/>
        </w:rPr>
        <w:br/>
      </w:r>
      <w:r w:rsidRPr="00E7663A">
        <w:rPr>
          <w:rFonts w:ascii="IBM Plex Serif" w:eastAsia="Times New Roman" w:hAnsi="IBM Plex Serif" w:cs="Times New Roman"/>
          <w:color w:val="293A55"/>
          <w:sz w:val="18"/>
          <w:szCs w:val="18"/>
          <w:vertAlign w:val="superscript"/>
          <w:lang w:eastAsia="uk-UA"/>
        </w:rPr>
        <w:t>1</w:t>
      </w:r>
      <w:r w:rsidRPr="00E7663A">
        <w:rPr>
          <w:rFonts w:ascii="IBM Plex Serif" w:eastAsia="Times New Roman" w:hAnsi="IBM Plex Serif" w:cs="Times New Roman"/>
          <w:color w:val="293A55"/>
          <w:sz w:val="24"/>
          <w:szCs w:val="24"/>
          <w:lang w:eastAsia="uk-UA"/>
        </w:rPr>
        <w:t> </w:t>
      </w:r>
      <w:r w:rsidRPr="00E7663A">
        <w:rPr>
          <w:rFonts w:ascii="IBM Plex Serif" w:eastAsia="Times New Roman" w:hAnsi="IBM Plex Serif" w:cs="Times New Roman"/>
          <w:color w:val="293A55"/>
          <w:sz w:val="20"/>
          <w:szCs w:val="20"/>
          <w:lang w:eastAsia="uk-UA"/>
        </w:rPr>
        <w:t xml:space="preserve">За рекомендаціями </w:t>
      </w:r>
      <w:proofErr w:type="spellStart"/>
      <w:r w:rsidRPr="00E7663A">
        <w:rPr>
          <w:rFonts w:ascii="IBM Plex Serif" w:eastAsia="Times New Roman" w:hAnsi="IBM Plex Serif" w:cs="Times New Roman"/>
          <w:color w:val="293A55"/>
          <w:sz w:val="20"/>
          <w:szCs w:val="20"/>
          <w:lang w:eastAsia="uk-UA"/>
        </w:rPr>
        <w:t>Проєкту</w:t>
      </w:r>
      <w:proofErr w:type="spellEnd"/>
      <w:r w:rsidRPr="00E7663A">
        <w:rPr>
          <w:rFonts w:ascii="IBM Plex Serif" w:eastAsia="Times New Roman" w:hAnsi="IBM Plex Serif" w:cs="Times New Roman"/>
          <w:color w:val="293A55"/>
          <w:sz w:val="20"/>
          <w:szCs w:val="20"/>
          <w:lang w:eastAsia="uk-UA"/>
        </w:rPr>
        <w:t xml:space="preserve"> Європейського Союзу "Підтримка Антимонопольного комітету України у впровадженні правил державної допомоги".</w:t>
      </w:r>
    </w:p>
    <w:p w14:paraId="0E88A1FC" w14:textId="77777777" w:rsidR="00E7663A" w:rsidRPr="00E7663A" w:rsidRDefault="00E7663A" w:rsidP="00E7663A">
      <w:pPr>
        <w:shd w:val="clear" w:color="auto" w:fill="FFFFFF"/>
        <w:spacing w:before="0" w:after="0"/>
        <w:ind w:firstLine="0"/>
        <w:jc w:val="center"/>
        <w:rPr>
          <w:rFonts w:ascii="IBM Plex Serif" w:eastAsia="Times New Roman" w:hAnsi="IBM Plex Serif" w:cs="Times New Roman"/>
          <w:color w:val="293A55"/>
          <w:sz w:val="24"/>
          <w:szCs w:val="24"/>
          <w:lang w:eastAsia="uk-UA"/>
        </w:rPr>
      </w:pPr>
      <w:r w:rsidRPr="00E7663A">
        <w:rPr>
          <w:rFonts w:ascii="IBM Plex Serif" w:eastAsia="Times New Roman" w:hAnsi="IBM Plex Serif" w:cs="Times New Roman"/>
          <w:color w:val="293A55"/>
          <w:sz w:val="24"/>
          <w:szCs w:val="24"/>
          <w:lang w:eastAsia="uk-UA"/>
        </w:rPr>
        <w:t>Український індекс ставок за депозитами фізичних осіб на 20.02.2023 (% річних)</w:t>
      </w: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13"/>
        <w:gridCol w:w="2406"/>
        <w:gridCol w:w="2502"/>
        <w:gridCol w:w="2502"/>
      </w:tblGrid>
      <w:tr w:rsidR="00E7663A" w:rsidRPr="00E7663A" w14:paraId="074D12BF" w14:textId="77777777" w:rsidTr="00E7663A">
        <w:trPr>
          <w:jc w:val="center"/>
        </w:trPr>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ABB003D" w14:textId="77777777" w:rsidR="00E7663A" w:rsidRPr="00E7663A" w:rsidRDefault="00E7663A" w:rsidP="00E7663A">
            <w:pPr>
              <w:spacing w:before="0" w:after="0"/>
              <w:ind w:firstLine="0"/>
              <w:jc w:val="left"/>
              <w:rPr>
                <w:rFonts w:eastAsia="Times New Roman" w:cs="Times New Roman"/>
                <w:color w:val="auto"/>
                <w:sz w:val="24"/>
                <w:szCs w:val="24"/>
                <w:lang w:eastAsia="uk-UA"/>
              </w:rPr>
            </w:pPr>
            <w:r w:rsidRPr="00E7663A">
              <w:rPr>
                <w:rFonts w:eastAsia="Times New Roman" w:cs="Times New Roman"/>
                <w:color w:val="auto"/>
                <w:sz w:val="24"/>
                <w:szCs w:val="24"/>
                <w:lang w:eastAsia="uk-UA"/>
              </w:rPr>
              <w:t> </w:t>
            </w:r>
          </w:p>
        </w:tc>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304E6C5" w14:textId="77777777" w:rsidR="00E7663A" w:rsidRPr="00E7663A" w:rsidRDefault="00E7663A" w:rsidP="00E7663A">
            <w:pPr>
              <w:spacing w:before="0" w:after="0"/>
              <w:ind w:firstLine="0"/>
              <w:jc w:val="center"/>
              <w:rPr>
                <w:rFonts w:eastAsia="Times New Roman" w:cs="Times New Roman"/>
                <w:color w:val="auto"/>
                <w:sz w:val="24"/>
                <w:szCs w:val="24"/>
                <w:lang w:eastAsia="uk-UA"/>
              </w:rPr>
            </w:pPr>
            <w:r w:rsidRPr="00E7663A">
              <w:rPr>
                <w:rFonts w:eastAsia="Times New Roman" w:cs="Times New Roman"/>
                <w:color w:val="auto"/>
                <w:sz w:val="24"/>
                <w:szCs w:val="24"/>
                <w:lang w:eastAsia="uk-UA"/>
              </w:rPr>
              <w:t>Гривня</w:t>
            </w:r>
          </w:p>
        </w:tc>
        <w:tc>
          <w:tcPr>
            <w:tcW w:w="1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E15FFC3" w14:textId="77777777" w:rsidR="00E7663A" w:rsidRPr="00E7663A" w:rsidRDefault="00E7663A" w:rsidP="00E7663A">
            <w:pPr>
              <w:spacing w:before="0" w:after="0"/>
              <w:ind w:firstLine="0"/>
              <w:jc w:val="center"/>
              <w:rPr>
                <w:rFonts w:eastAsia="Times New Roman" w:cs="Times New Roman"/>
                <w:color w:val="auto"/>
                <w:sz w:val="24"/>
                <w:szCs w:val="24"/>
                <w:lang w:eastAsia="uk-UA"/>
              </w:rPr>
            </w:pPr>
            <w:r w:rsidRPr="00E7663A">
              <w:rPr>
                <w:rFonts w:eastAsia="Times New Roman" w:cs="Times New Roman"/>
                <w:color w:val="auto"/>
                <w:sz w:val="24"/>
                <w:szCs w:val="24"/>
                <w:lang w:eastAsia="uk-UA"/>
              </w:rPr>
              <w:t>Долар</w:t>
            </w:r>
          </w:p>
        </w:tc>
        <w:tc>
          <w:tcPr>
            <w:tcW w:w="1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D01C0C5" w14:textId="77777777" w:rsidR="00E7663A" w:rsidRPr="00E7663A" w:rsidRDefault="00E7663A" w:rsidP="00E7663A">
            <w:pPr>
              <w:spacing w:before="0" w:after="0"/>
              <w:ind w:firstLine="0"/>
              <w:jc w:val="center"/>
              <w:rPr>
                <w:rFonts w:eastAsia="Times New Roman" w:cs="Times New Roman"/>
                <w:color w:val="auto"/>
                <w:sz w:val="24"/>
                <w:szCs w:val="24"/>
                <w:lang w:eastAsia="uk-UA"/>
              </w:rPr>
            </w:pPr>
            <w:proofErr w:type="spellStart"/>
            <w:r w:rsidRPr="00E7663A">
              <w:rPr>
                <w:rFonts w:eastAsia="Times New Roman" w:cs="Times New Roman"/>
                <w:color w:val="auto"/>
                <w:sz w:val="24"/>
                <w:szCs w:val="24"/>
                <w:lang w:eastAsia="uk-UA"/>
              </w:rPr>
              <w:t>Евро</w:t>
            </w:r>
            <w:proofErr w:type="spellEnd"/>
          </w:p>
        </w:tc>
      </w:tr>
      <w:tr w:rsidR="00E7663A" w:rsidRPr="00E7663A" w14:paraId="38003D19" w14:textId="77777777" w:rsidTr="00E7663A">
        <w:trPr>
          <w:jc w:val="center"/>
        </w:trPr>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2D4E04F" w14:textId="77777777" w:rsidR="00E7663A" w:rsidRPr="00E7663A" w:rsidRDefault="00E7663A" w:rsidP="00E7663A">
            <w:pPr>
              <w:spacing w:before="0" w:after="0"/>
              <w:ind w:firstLine="0"/>
              <w:jc w:val="left"/>
              <w:rPr>
                <w:rFonts w:eastAsia="Times New Roman" w:cs="Times New Roman"/>
                <w:color w:val="auto"/>
                <w:sz w:val="24"/>
                <w:szCs w:val="24"/>
                <w:lang w:eastAsia="uk-UA"/>
              </w:rPr>
            </w:pPr>
            <w:r w:rsidRPr="00E7663A">
              <w:rPr>
                <w:rFonts w:eastAsia="Times New Roman" w:cs="Times New Roman"/>
                <w:color w:val="auto"/>
                <w:sz w:val="24"/>
                <w:szCs w:val="24"/>
                <w:lang w:eastAsia="uk-UA"/>
              </w:rPr>
              <w:t>3 місяці</w:t>
            </w:r>
          </w:p>
        </w:tc>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BAE1602" w14:textId="77777777" w:rsidR="00E7663A" w:rsidRPr="00E7663A" w:rsidRDefault="00E7663A" w:rsidP="00E7663A">
            <w:pPr>
              <w:spacing w:before="0" w:after="0"/>
              <w:ind w:firstLine="0"/>
              <w:jc w:val="center"/>
              <w:rPr>
                <w:rFonts w:eastAsia="Times New Roman" w:cs="Times New Roman"/>
                <w:color w:val="auto"/>
                <w:sz w:val="24"/>
                <w:szCs w:val="24"/>
                <w:lang w:eastAsia="uk-UA"/>
              </w:rPr>
            </w:pPr>
            <w:r w:rsidRPr="00E7663A">
              <w:rPr>
                <w:rFonts w:eastAsia="Times New Roman" w:cs="Times New Roman"/>
                <w:color w:val="auto"/>
                <w:sz w:val="24"/>
                <w:szCs w:val="24"/>
                <w:lang w:eastAsia="uk-UA"/>
              </w:rPr>
              <w:t>11,50</w:t>
            </w:r>
          </w:p>
        </w:tc>
        <w:tc>
          <w:tcPr>
            <w:tcW w:w="1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08F265D" w14:textId="77777777" w:rsidR="00E7663A" w:rsidRPr="00E7663A" w:rsidRDefault="00E7663A" w:rsidP="00E7663A">
            <w:pPr>
              <w:spacing w:before="0" w:after="0"/>
              <w:ind w:firstLine="0"/>
              <w:jc w:val="center"/>
              <w:rPr>
                <w:rFonts w:eastAsia="Times New Roman" w:cs="Times New Roman"/>
                <w:color w:val="auto"/>
                <w:sz w:val="24"/>
                <w:szCs w:val="24"/>
                <w:lang w:eastAsia="uk-UA"/>
              </w:rPr>
            </w:pPr>
            <w:r w:rsidRPr="00E7663A">
              <w:rPr>
                <w:rFonts w:eastAsia="Times New Roman" w:cs="Times New Roman"/>
                <w:color w:val="auto"/>
                <w:sz w:val="24"/>
                <w:szCs w:val="24"/>
                <w:lang w:eastAsia="uk-UA"/>
              </w:rPr>
              <w:t>0,35</w:t>
            </w:r>
          </w:p>
        </w:tc>
        <w:tc>
          <w:tcPr>
            <w:tcW w:w="1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EBF9D3F" w14:textId="77777777" w:rsidR="00E7663A" w:rsidRPr="00E7663A" w:rsidRDefault="00E7663A" w:rsidP="00E7663A">
            <w:pPr>
              <w:spacing w:before="0" w:after="0"/>
              <w:ind w:firstLine="0"/>
              <w:jc w:val="center"/>
              <w:rPr>
                <w:rFonts w:eastAsia="Times New Roman" w:cs="Times New Roman"/>
                <w:color w:val="auto"/>
                <w:sz w:val="24"/>
                <w:szCs w:val="24"/>
                <w:lang w:eastAsia="uk-UA"/>
              </w:rPr>
            </w:pPr>
            <w:r w:rsidRPr="00E7663A">
              <w:rPr>
                <w:rFonts w:eastAsia="Times New Roman" w:cs="Times New Roman"/>
                <w:color w:val="auto"/>
                <w:sz w:val="24"/>
                <w:szCs w:val="24"/>
                <w:lang w:eastAsia="uk-UA"/>
              </w:rPr>
              <w:t>0,09</w:t>
            </w:r>
          </w:p>
        </w:tc>
      </w:tr>
      <w:tr w:rsidR="00E7663A" w:rsidRPr="00E7663A" w14:paraId="1B358C59" w14:textId="77777777" w:rsidTr="00E7663A">
        <w:trPr>
          <w:jc w:val="center"/>
        </w:trPr>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C34BF4C" w14:textId="77777777" w:rsidR="00E7663A" w:rsidRPr="00E7663A" w:rsidRDefault="00E7663A" w:rsidP="00E7663A">
            <w:pPr>
              <w:spacing w:before="0" w:after="0"/>
              <w:ind w:firstLine="0"/>
              <w:jc w:val="left"/>
              <w:rPr>
                <w:rFonts w:eastAsia="Times New Roman" w:cs="Times New Roman"/>
                <w:color w:val="auto"/>
                <w:sz w:val="24"/>
                <w:szCs w:val="24"/>
                <w:lang w:eastAsia="uk-UA"/>
              </w:rPr>
            </w:pPr>
            <w:r w:rsidRPr="00E7663A">
              <w:rPr>
                <w:rFonts w:eastAsia="Times New Roman" w:cs="Times New Roman"/>
                <w:color w:val="auto"/>
                <w:sz w:val="24"/>
                <w:szCs w:val="24"/>
                <w:lang w:eastAsia="uk-UA"/>
              </w:rPr>
              <w:t>6 місяців</w:t>
            </w:r>
          </w:p>
        </w:tc>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E9BB0F0" w14:textId="77777777" w:rsidR="00E7663A" w:rsidRPr="00E7663A" w:rsidRDefault="00E7663A" w:rsidP="00E7663A">
            <w:pPr>
              <w:spacing w:before="0" w:after="0"/>
              <w:ind w:firstLine="0"/>
              <w:jc w:val="center"/>
              <w:rPr>
                <w:rFonts w:eastAsia="Times New Roman" w:cs="Times New Roman"/>
                <w:color w:val="auto"/>
                <w:sz w:val="24"/>
                <w:szCs w:val="24"/>
                <w:lang w:eastAsia="uk-UA"/>
              </w:rPr>
            </w:pPr>
            <w:r w:rsidRPr="00E7663A">
              <w:rPr>
                <w:rFonts w:eastAsia="Times New Roman" w:cs="Times New Roman"/>
                <w:color w:val="auto"/>
                <w:sz w:val="24"/>
                <w:szCs w:val="24"/>
                <w:lang w:eastAsia="uk-UA"/>
              </w:rPr>
              <w:t>12,92</w:t>
            </w:r>
          </w:p>
        </w:tc>
        <w:tc>
          <w:tcPr>
            <w:tcW w:w="1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5DF9114" w14:textId="77777777" w:rsidR="00E7663A" w:rsidRPr="00E7663A" w:rsidRDefault="00E7663A" w:rsidP="00E7663A">
            <w:pPr>
              <w:spacing w:before="0" w:after="0"/>
              <w:ind w:firstLine="0"/>
              <w:jc w:val="center"/>
              <w:rPr>
                <w:rFonts w:eastAsia="Times New Roman" w:cs="Times New Roman"/>
                <w:color w:val="auto"/>
                <w:sz w:val="24"/>
                <w:szCs w:val="24"/>
                <w:lang w:eastAsia="uk-UA"/>
              </w:rPr>
            </w:pPr>
            <w:r w:rsidRPr="00E7663A">
              <w:rPr>
                <w:rFonts w:eastAsia="Times New Roman" w:cs="Times New Roman"/>
                <w:color w:val="auto"/>
                <w:sz w:val="24"/>
                <w:szCs w:val="24"/>
                <w:lang w:eastAsia="uk-UA"/>
              </w:rPr>
              <w:t>0,50</w:t>
            </w:r>
          </w:p>
        </w:tc>
        <w:tc>
          <w:tcPr>
            <w:tcW w:w="1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CCD4DFB" w14:textId="77777777" w:rsidR="00E7663A" w:rsidRPr="00E7663A" w:rsidRDefault="00E7663A" w:rsidP="00E7663A">
            <w:pPr>
              <w:spacing w:before="0" w:after="0"/>
              <w:ind w:firstLine="0"/>
              <w:jc w:val="center"/>
              <w:rPr>
                <w:rFonts w:eastAsia="Times New Roman" w:cs="Times New Roman"/>
                <w:color w:val="auto"/>
                <w:sz w:val="24"/>
                <w:szCs w:val="24"/>
                <w:lang w:eastAsia="uk-UA"/>
              </w:rPr>
            </w:pPr>
            <w:r w:rsidRPr="00E7663A">
              <w:rPr>
                <w:rFonts w:eastAsia="Times New Roman" w:cs="Times New Roman"/>
                <w:color w:val="auto"/>
                <w:sz w:val="24"/>
                <w:szCs w:val="24"/>
                <w:lang w:eastAsia="uk-UA"/>
              </w:rPr>
              <w:t>0,18</w:t>
            </w:r>
          </w:p>
        </w:tc>
      </w:tr>
      <w:tr w:rsidR="00E7663A" w:rsidRPr="00E7663A" w14:paraId="63CCB490" w14:textId="77777777" w:rsidTr="00E7663A">
        <w:trPr>
          <w:jc w:val="center"/>
        </w:trPr>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055F70A" w14:textId="77777777" w:rsidR="00E7663A" w:rsidRPr="00E7663A" w:rsidRDefault="00E7663A" w:rsidP="00E7663A">
            <w:pPr>
              <w:spacing w:before="0" w:after="0"/>
              <w:ind w:firstLine="0"/>
              <w:jc w:val="left"/>
              <w:rPr>
                <w:rFonts w:eastAsia="Times New Roman" w:cs="Times New Roman"/>
                <w:color w:val="auto"/>
                <w:sz w:val="24"/>
                <w:szCs w:val="24"/>
                <w:lang w:eastAsia="uk-UA"/>
              </w:rPr>
            </w:pPr>
            <w:r w:rsidRPr="00E7663A">
              <w:rPr>
                <w:rFonts w:eastAsia="Times New Roman" w:cs="Times New Roman"/>
                <w:color w:val="auto"/>
                <w:sz w:val="24"/>
                <w:szCs w:val="24"/>
                <w:lang w:eastAsia="uk-UA"/>
              </w:rPr>
              <w:t>9 місяців</w:t>
            </w:r>
          </w:p>
        </w:tc>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CF32A21" w14:textId="77777777" w:rsidR="00E7663A" w:rsidRPr="00E7663A" w:rsidRDefault="00E7663A" w:rsidP="00E7663A">
            <w:pPr>
              <w:spacing w:before="0" w:after="0"/>
              <w:ind w:firstLine="0"/>
              <w:jc w:val="center"/>
              <w:rPr>
                <w:rFonts w:eastAsia="Times New Roman" w:cs="Times New Roman"/>
                <w:color w:val="auto"/>
                <w:sz w:val="24"/>
                <w:szCs w:val="24"/>
                <w:lang w:eastAsia="uk-UA"/>
              </w:rPr>
            </w:pPr>
            <w:r w:rsidRPr="00E7663A">
              <w:rPr>
                <w:rFonts w:eastAsia="Times New Roman" w:cs="Times New Roman"/>
                <w:color w:val="auto"/>
                <w:sz w:val="24"/>
                <w:szCs w:val="24"/>
                <w:lang w:eastAsia="uk-UA"/>
              </w:rPr>
              <w:t>12,41</w:t>
            </w:r>
          </w:p>
        </w:tc>
        <w:tc>
          <w:tcPr>
            <w:tcW w:w="1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7A3F242" w14:textId="77777777" w:rsidR="00E7663A" w:rsidRPr="00E7663A" w:rsidRDefault="00E7663A" w:rsidP="00E7663A">
            <w:pPr>
              <w:spacing w:before="0" w:after="0"/>
              <w:ind w:firstLine="0"/>
              <w:jc w:val="center"/>
              <w:rPr>
                <w:rFonts w:eastAsia="Times New Roman" w:cs="Times New Roman"/>
                <w:color w:val="auto"/>
                <w:sz w:val="24"/>
                <w:szCs w:val="24"/>
                <w:lang w:eastAsia="uk-UA"/>
              </w:rPr>
            </w:pPr>
            <w:r w:rsidRPr="00E7663A">
              <w:rPr>
                <w:rFonts w:eastAsia="Times New Roman" w:cs="Times New Roman"/>
                <w:color w:val="auto"/>
                <w:sz w:val="24"/>
                <w:szCs w:val="24"/>
                <w:lang w:eastAsia="uk-UA"/>
              </w:rPr>
              <w:t>0,67</w:t>
            </w:r>
          </w:p>
        </w:tc>
        <w:tc>
          <w:tcPr>
            <w:tcW w:w="1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7917F48" w14:textId="77777777" w:rsidR="00E7663A" w:rsidRPr="00E7663A" w:rsidRDefault="00E7663A" w:rsidP="00E7663A">
            <w:pPr>
              <w:spacing w:before="0" w:after="0"/>
              <w:ind w:firstLine="0"/>
              <w:jc w:val="center"/>
              <w:rPr>
                <w:rFonts w:eastAsia="Times New Roman" w:cs="Times New Roman"/>
                <w:color w:val="auto"/>
                <w:sz w:val="24"/>
                <w:szCs w:val="24"/>
                <w:lang w:eastAsia="uk-UA"/>
              </w:rPr>
            </w:pPr>
            <w:r w:rsidRPr="00E7663A">
              <w:rPr>
                <w:rFonts w:eastAsia="Times New Roman" w:cs="Times New Roman"/>
                <w:color w:val="auto"/>
                <w:sz w:val="24"/>
                <w:szCs w:val="24"/>
                <w:lang w:eastAsia="uk-UA"/>
              </w:rPr>
              <w:t>0,25</w:t>
            </w:r>
          </w:p>
        </w:tc>
      </w:tr>
      <w:tr w:rsidR="00E7663A" w:rsidRPr="00E7663A" w14:paraId="12212819" w14:textId="77777777" w:rsidTr="00E7663A">
        <w:trPr>
          <w:jc w:val="center"/>
        </w:trPr>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F37D620" w14:textId="77777777" w:rsidR="00E7663A" w:rsidRPr="00E7663A" w:rsidRDefault="00E7663A" w:rsidP="00E7663A">
            <w:pPr>
              <w:spacing w:before="0" w:after="0"/>
              <w:ind w:firstLine="0"/>
              <w:jc w:val="left"/>
              <w:rPr>
                <w:rFonts w:eastAsia="Times New Roman" w:cs="Times New Roman"/>
                <w:color w:val="auto"/>
                <w:sz w:val="24"/>
                <w:szCs w:val="24"/>
                <w:lang w:eastAsia="uk-UA"/>
              </w:rPr>
            </w:pPr>
            <w:r w:rsidRPr="00E7663A">
              <w:rPr>
                <w:rFonts w:eastAsia="Times New Roman" w:cs="Times New Roman"/>
                <w:color w:val="auto"/>
                <w:sz w:val="24"/>
                <w:szCs w:val="24"/>
                <w:lang w:eastAsia="uk-UA"/>
              </w:rPr>
              <w:t>12 місяців</w:t>
            </w:r>
          </w:p>
        </w:tc>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C1E4CFC" w14:textId="77777777" w:rsidR="00E7663A" w:rsidRPr="00E7663A" w:rsidRDefault="00E7663A" w:rsidP="00E7663A">
            <w:pPr>
              <w:spacing w:before="0" w:after="0"/>
              <w:ind w:firstLine="0"/>
              <w:jc w:val="center"/>
              <w:rPr>
                <w:rFonts w:eastAsia="Times New Roman" w:cs="Times New Roman"/>
                <w:color w:val="auto"/>
                <w:sz w:val="24"/>
                <w:szCs w:val="24"/>
                <w:lang w:eastAsia="uk-UA"/>
              </w:rPr>
            </w:pPr>
            <w:r w:rsidRPr="00E7663A">
              <w:rPr>
                <w:rFonts w:eastAsia="Times New Roman" w:cs="Times New Roman"/>
                <w:color w:val="auto"/>
                <w:sz w:val="24"/>
                <w:szCs w:val="24"/>
                <w:lang w:eastAsia="uk-UA"/>
              </w:rPr>
              <w:t>13,51</w:t>
            </w:r>
          </w:p>
        </w:tc>
        <w:tc>
          <w:tcPr>
            <w:tcW w:w="1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17C44B4" w14:textId="77777777" w:rsidR="00E7663A" w:rsidRPr="00E7663A" w:rsidRDefault="00E7663A" w:rsidP="00E7663A">
            <w:pPr>
              <w:spacing w:before="0" w:after="0"/>
              <w:ind w:firstLine="0"/>
              <w:jc w:val="center"/>
              <w:rPr>
                <w:rFonts w:eastAsia="Times New Roman" w:cs="Times New Roman"/>
                <w:color w:val="auto"/>
                <w:sz w:val="24"/>
                <w:szCs w:val="24"/>
                <w:lang w:eastAsia="uk-UA"/>
              </w:rPr>
            </w:pPr>
            <w:r w:rsidRPr="00E7663A">
              <w:rPr>
                <w:rFonts w:eastAsia="Times New Roman" w:cs="Times New Roman"/>
                <w:color w:val="auto"/>
                <w:sz w:val="24"/>
                <w:szCs w:val="24"/>
                <w:lang w:eastAsia="uk-UA"/>
              </w:rPr>
              <w:t>0,84</w:t>
            </w:r>
          </w:p>
        </w:tc>
        <w:tc>
          <w:tcPr>
            <w:tcW w:w="1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764691B" w14:textId="77777777" w:rsidR="00E7663A" w:rsidRPr="00E7663A" w:rsidRDefault="00E7663A" w:rsidP="00E7663A">
            <w:pPr>
              <w:spacing w:before="0" w:after="0"/>
              <w:ind w:firstLine="0"/>
              <w:jc w:val="center"/>
              <w:rPr>
                <w:rFonts w:eastAsia="Times New Roman" w:cs="Times New Roman"/>
                <w:color w:val="auto"/>
                <w:sz w:val="24"/>
                <w:szCs w:val="24"/>
                <w:lang w:eastAsia="uk-UA"/>
              </w:rPr>
            </w:pPr>
            <w:r w:rsidRPr="00E7663A">
              <w:rPr>
                <w:rFonts w:eastAsia="Times New Roman" w:cs="Times New Roman"/>
                <w:b/>
                <w:bCs/>
                <w:color w:val="auto"/>
                <w:sz w:val="24"/>
                <w:szCs w:val="24"/>
                <w:lang w:eastAsia="uk-UA"/>
              </w:rPr>
              <w:t>0,22</w:t>
            </w:r>
          </w:p>
        </w:tc>
      </w:tr>
    </w:tbl>
    <w:p w14:paraId="1D0C0127" w14:textId="77777777" w:rsidR="00E7663A" w:rsidRPr="00E7663A" w:rsidRDefault="00E7663A" w:rsidP="00E7663A">
      <w:pPr>
        <w:shd w:val="clear" w:color="auto" w:fill="FFFFFF"/>
        <w:spacing w:before="0" w:after="0"/>
        <w:ind w:firstLine="0"/>
        <w:rPr>
          <w:rFonts w:ascii="IBM Plex Serif" w:eastAsia="Times New Roman" w:hAnsi="IBM Plex Serif" w:cs="Times New Roman"/>
          <w:color w:val="293A55"/>
          <w:sz w:val="24"/>
          <w:szCs w:val="24"/>
          <w:lang w:eastAsia="uk-UA"/>
        </w:rPr>
      </w:pPr>
      <w:r w:rsidRPr="00E7663A">
        <w:rPr>
          <w:rFonts w:ascii="IBM Plex Serif" w:eastAsia="Times New Roman" w:hAnsi="IBM Plex Serif" w:cs="Times New Roman"/>
          <w:color w:val="293A55"/>
          <w:sz w:val="24"/>
          <w:szCs w:val="24"/>
          <w:lang w:eastAsia="uk-UA"/>
        </w:rPr>
        <w:t>Якщо така однорічна ставка недоступна, може бути застосована інша основа для розрахунку, а саме базова ставка за кредитами на основі індексу ставок фізичних осіб за депозитами (UIRD), за версією агентства "</w:t>
      </w:r>
      <w:proofErr w:type="spellStart"/>
      <w:r w:rsidRPr="00E7663A">
        <w:rPr>
          <w:rFonts w:ascii="IBM Plex Serif" w:eastAsia="Times New Roman" w:hAnsi="IBM Plex Serif" w:cs="Times New Roman"/>
          <w:color w:val="293A55"/>
          <w:sz w:val="24"/>
          <w:szCs w:val="24"/>
          <w:lang w:eastAsia="uk-UA"/>
        </w:rPr>
        <w:t>Thomson</w:t>
      </w:r>
      <w:proofErr w:type="spellEnd"/>
      <w:r w:rsidRPr="00E7663A">
        <w:rPr>
          <w:rFonts w:ascii="IBM Plex Serif" w:eastAsia="Times New Roman" w:hAnsi="IBM Plex Serif" w:cs="Times New Roman"/>
          <w:color w:val="293A55"/>
          <w:sz w:val="24"/>
          <w:szCs w:val="24"/>
          <w:lang w:eastAsia="uk-UA"/>
        </w:rPr>
        <w:t xml:space="preserve"> </w:t>
      </w:r>
      <w:proofErr w:type="spellStart"/>
      <w:r w:rsidRPr="00E7663A">
        <w:rPr>
          <w:rFonts w:ascii="IBM Plex Serif" w:eastAsia="Times New Roman" w:hAnsi="IBM Plex Serif" w:cs="Times New Roman"/>
          <w:color w:val="293A55"/>
          <w:sz w:val="24"/>
          <w:szCs w:val="24"/>
          <w:lang w:eastAsia="uk-UA"/>
        </w:rPr>
        <w:t>Reuters</w:t>
      </w:r>
      <w:proofErr w:type="spellEnd"/>
      <w:r w:rsidRPr="00E7663A">
        <w:rPr>
          <w:rFonts w:ascii="IBM Plex Serif" w:eastAsia="Times New Roman" w:hAnsi="IBM Plex Serif" w:cs="Times New Roman"/>
          <w:color w:val="293A55"/>
          <w:sz w:val="24"/>
          <w:szCs w:val="24"/>
          <w:lang w:eastAsia="uk-UA"/>
        </w:rPr>
        <w:t>" (https://bank.gov.ua/ua/statistic/sector-financial#2fs).</w:t>
      </w:r>
    </w:p>
    <w:p w14:paraId="7095063D" w14:textId="77777777" w:rsidR="00E7663A" w:rsidRPr="00E7663A" w:rsidRDefault="00E7663A" w:rsidP="00E7663A">
      <w:pPr>
        <w:shd w:val="clear" w:color="auto" w:fill="FFFFFF"/>
        <w:spacing w:before="0" w:after="0"/>
        <w:ind w:firstLine="0"/>
        <w:rPr>
          <w:rFonts w:ascii="IBM Plex Serif" w:eastAsia="Times New Roman" w:hAnsi="IBM Plex Serif" w:cs="Times New Roman"/>
          <w:color w:val="293A55"/>
          <w:sz w:val="24"/>
          <w:szCs w:val="24"/>
          <w:lang w:eastAsia="uk-UA"/>
        </w:rPr>
      </w:pPr>
      <w:r w:rsidRPr="00E7663A">
        <w:rPr>
          <w:rFonts w:ascii="IBM Plex Serif" w:eastAsia="Times New Roman" w:hAnsi="IBM Plex Serif" w:cs="Times New Roman"/>
          <w:color w:val="293A55"/>
          <w:sz w:val="24"/>
          <w:szCs w:val="24"/>
          <w:lang w:eastAsia="uk-UA"/>
        </w:rPr>
        <w:t>Відповідно до Повідомлення щодо ринкової (референтної) ставки маржа встановлюється залежно від двох факторів:</w:t>
      </w:r>
    </w:p>
    <w:p w14:paraId="201D4088" w14:textId="77777777" w:rsidR="00E7663A" w:rsidRPr="00E7663A" w:rsidRDefault="00E7663A" w:rsidP="00E7663A">
      <w:pPr>
        <w:shd w:val="clear" w:color="auto" w:fill="FFFFFF"/>
        <w:spacing w:before="0" w:after="0"/>
        <w:ind w:firstLine="0"/>
        <w:rPr>
          <w:rFonts w:ascii="IBM Plex Serif" w:eastAsia="Times New Roman" w:hAnsi="IBM Plex Serif" w:cs="Times New Roman"/>
          <w:color w:val="293A55"/>
          <w:sz w:val="24"/>
          <w:szCs w:val="24"/>
          <w:lang w:eastAsia="uk-UA"/>
        </w:rPr>
      </w:pPr>
      <w:r w:rsidRPr="00E7663A">
        <w:rPr>
          <w:rFonts w:ascii="IBM Plex Serif" w:eastAsia="Times New Roman" w:hAnsi="IBM Plex Serif" w:cs="Times New Roman"/>
          <w:color w:val="293A55"/>
          <w:sz w:val="24"/>
          <w:szCs w:val="24"/>
          <w:lang w:eastAsia="uk-UA"/>
        </w:rPr>
        <w:t>- рейтинг відповідного суб'єкта господарювання;</w:t>
      </w:r>
    </w:p>
    <w:p w14:paraId="1D416A50" w14:textId="77777777" w:rsidR="00E7663A" w:rsidRPr="00E7663A" w:rsidRDefault="00E7663A" w:rsidP="00E7663A">
      <w:pPr>
        <w:shd w:val="clear" w:color="auto" w:fill="FFFFFF"/>
        <w:spacing w:before="0" w:after="0"/>
        <w:ind w:firstLine="0"/>
        <w:rPr>
          <w:rFonts w:ascii="IBM Plex Serif" w:eastAsia="Times New Roman" w:hAnsi="IBM Plex Serif" w:cs="Times New Roman"/>
          <w:color w:val="293A55"/>
          <w:sz w:val="24"/>
          <w:szCs w:val="24"/>
          <w:lang w:eastAsia="uk-UA"/>
        </w:rPr>
      </w:pPr>
      <w:r w:rsidRPr="00E7663A">
        <w:rPr>
          <w:rFonts w:ascii="IBM Plex Serif" w:eastAsia="Times New Roman" w:hAnsi="IBM Plex Serif" w:cs="Times New Roman"/>
          <w:color w:val="293A55"/>
          <w:sz w:val="24"/>
          <w:szCs w:val="24"/>
          <w:lang w:eastAsia="uk-UA"/>
        </w:rPr>
        <w:t>- рівень запропонованої застави.</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76"/>
        <w:gridCol w:w="2021"/>
        <w:gridCol w:w="1828"/>
        <w:gridCol w:w="2598"/>
      </w:tblGrid>
      <w:tr w:rsidR="00E7663A" w:rsidRPr="00E7663A" w14:paraId="7B13590C" w14:textId="77777777" w:rsidTr="00E7663A">
        <w:tc>
          <w:tcPr>
            <w:tcW w:w="5000" w:type="pct"/>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1984EC9" w14:textId="77777777" w:rsidR="00E7663A" w:rsidRPr="00E7663A" w:rsidRDefault="00E7663A" w:rsidP="00E7663A">
            <w:pPr>
              <w:spacing w:before="0" w:after="0"/>
              <w:ind w:firstLine="0"/>
              <w:jc w:val="center"/>
              <w:rPr>
                <w:rFonts w:eastAsia="Times New Roman" w:cs="Times New Roman"/>
                <w:color w:val="auto"/>
                <w:sz w:val="24"/>
                <w:szCs w:val="24"/>
                <w:lang w:eastAsia="uk-UA"/>
              </w:rPr>
            </w:pPr>
            <w:r w:rsidRPr="00E7663A">
              <w:rPr>
                <w:rFonts w:eastAsia="Times New Roman" w:cs="Times New Roman"/>
                <w:color w:val="auto"/>
                <w:sz w:val="24"/>
                <w:szCs w:val="24"/>
                <w:lang w:eastAsia="uk-UA"/>
              </w:rPr>
              <w:t>Маржа позики в базисних пунктах</w:t>
            </w:r>
          </w:p>
        </w:tc>
      </w:tr>
      <w:tr w:rsidR="00E7663A" w:rsidRPr="00E7663A" w14:paraId="51518B3C" w14:textId="77777777" w:rsidTr="00E7663A">
        <w:tc>
          <w:tcPr>
            <w:tcW w:w="1650"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04C0E15" w14:textId="77777777" w:rsidR="00E7663A" w:rsidRPr="00E7663A" w:rsidRDefault="00E7663A" w:rsidP="00E7663A">
            <w:pPr>
              <w:spacing w:before="0" w:after="0"/>
              <w:ind w:firstLine="0"/>
              <w:jc w:val="center"/>
              <w:rPr>
                <w:rFonts w:eastAsia="Times New Roman" w:cs="Times New Roman"/>
                <w:color w:val="auto"/>
                <w:sz w:val="24"/>
                <w:szCs w:val="24"/>
                <w:lang w:eastAsia="uk-UA"/>
              </w:rPr>
            </w:pPr>
            <w:r w:rsidRPr="00E7663A">
              <w:rPr>
                <w:rFonts w:eastAsia="Times New Roman" w:cs="Times New Roman"/>
                <w:color w:val="auto"/>
                <w:sz w:val="24"/>
                <w:szCs w:val="24"/>
                <w:lang w:eastAsia="uk-UA"/>
              </w:rPr>
              <w:t>Рейтингова категорія</w:t>
            </w:r>
          </w:p>
        </w:tc>
        <w:tc>
          <w:tcPr>
            <w:tcW w:w="335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0C504AE" w14:textId="77777777" w:rsidR="00E7663A" w:rsidRPr="00E7663A" w:rsidRDefault="00E7663A" w:rsidP="00E7663A">
            <w:pPr>
              <w:spacing w:before="0" w:after="0"/>
              <w:ind w:firstLine="0"/>
              <w:jc w:val="center"/>
              <w:rPr>
                <w:rFonts w:eastAsia="Times New Roman" w:cs="Times New Roman"/>
                <w:color w:val="auto"/>
                <w:sz w:val="24"/>
                <w:szCs w:val="24"/>
                <w:lang w:eastAsia="uk-UA"/>
              </w:rPr>
            </w:pPr>
            <w:r w:rsidRPr="00E7663A">
              <w:rPr>
                <w:rFonts w:eastAsia="Times New Roman" w:cs="Times New Roman"/>
                <w:color w:val="auto"/>
                <w:sz w:val="24"/>
                <w:szCs w:val="24"/>
                <w:lang w:eastAsia="uk-UA"/>
              </w:rPr>
              <w:t>Рівень забезпечення</w:t>
            </w:r>
          </w:p>
        </w:tc>
      </w:tr>
      <w:tr w:rsidR="00E7663A" w:rsidRPr="00E7663A" w14:paraId="72F80CF9" w14:textId="77777777" w:rsidTr="00E7663A">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05758BC" w14:textId="77777777" w:rsidR="00E7663A" w:rsidRPr="00E7663A" w:rsidRDefault="00E7663A" w:rsidP="00E7663A">
            <w:pPr>
              <w:spacing w:before="0" w:after="0"/>
              <w:ind w:firstLine="0"/>
              <w:jc w:val="left"/>
              <w:rPr>
                <w:rFonts w:eastAsia="Times New Roman" w:cs="Times New Roman"/>
                <w:color w:val="auto"/>
                <w:sz w:val="24"/>
                <w:szCs w:val="24"/>
                <w:lang w:eastAsia="uk-UA"/>
              </w:rPr>
            </w:pP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1F3F943" w14:textId="77777777" w:rsidR="00E7663A" w:rsidRPr="00E7663A" w:rsidRDefault="00E7663A" w:rsidP="00E7663A">
            <w:pPr>
              <w:spacing w:before="0" w:after="0"/>
              <w:ind w:firstLine="0"/>
              <w:jc w:val="center"/>
              <w:rPr>
                <w:rFonts w:eastAsia="Times New Roman" w:cs="Times New Roman"/>
                <w:color w:val="auto"/>
                <w:sz w:val="24"/>
                <w:szCs w:val="24"/>
                <w:lang w:eastAsia="uk-UA"/>
              </w:rPr>
            </w:pPr>
            <w:r w:rsidRPr="00E7663A">
              <w:rPr>
                <w:rFonts w:eastAsia="Times New Roman" w:cs="Times New Roman"/>
                <w:color w:val="auto"/>
                <w:sz w:val="24"/>
                <w:szCs w:val="24"/>
                <w:lang w:eastAsia="uk-UA"/>
              </w:rPr>
              <w:t>Високий</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7AE7ECB" w14:textId="77777777" w:rsidR="00E7663A" w:rsidRPr="00E7663A" w:rsidRDefault="00E7663A" w:rsidP="00E7663A">
            <w:pPr>
              <w:spacing w:before="0" w:after="0"/>
              <w:ind w:firstLine="0"/>
              <w:jc w:val="center"/>
              <w:rPr>
                <w:rFonts w:eastAsia="Times New Roman" w:cs="Times New Roman"/>
                <w:color w:val="auto"/>
                <w:sz w:val="24"/>
                <w:szCs w:val="24"/>
                <w:lang w:eastAsia="uk-UA"/>
              </w:rPr>
            </w:pPr>
            <w:r w:rsidRPr="00E7663A">
              <w:rPr>
                <w:rFonts w:eastAsia="Times New Roman" w:cs="Times New Roman"/>
                <w:color w:val="auto"/>
                <w:sz w:val="24"/>
                <w:szCs w:val="24"/>
                <w:lang w:eastAsia="uk-UA"/>
              </w:rPr>
              <w:t>Стандартний</w:t>
            </w:r>
          </w:p>
        </w:tc>
        <w:tc>
          <w:tcPr>
            <w:tcW w:w="1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C430A89" w14:textId="77777777" w:rsidR="00E7663A" w:rsidRPr="00E7663A" w:rsidRDefault="00E7663A" w:rsidP="00E7663A">
            <w:pPr>
              <w:spacing w:before="0" w:after="0"/>
              <w:ind w:firstLine="0"/>
              <w:jc w:val="center"/>
              <w:rPr>
                <w:rFonts w:eastAsia="Times New Roman" w:cs="Times New Roman"/>
                <w:color w:val="auto"/>
                <w:sz w:val="24"/>
                <w:szCs w:val="24"/>
                <w:lang w:eastAsia="uk-UA"/>
              </w:rPr>
            </w:pPr>
            <w:r w:rsidRPr="00E7663A">
              <w:rPr>
                <w:rFonts w:eastAsia="Times New Roman" w:cs="Times New Roman"/>
                <w:color w:val="auto"/>
                <w:sz w:val="24"/>
                <w:szCs w:val="24"/>
                <w:lang w:eastAsia="uk-UA"/>
              </w:rPr>
              <w:t>Низький</w:t>
            </w:r>
          </w:p>
        </w:tc>
      </w:tr>
      <w:tr w:rsidR="00E7663A" w:rsidRPr="00E7663A" w14:paraId="5CE0D7EF" w14:textId="77777777" w:rsidTr="00E7663A">
        <w:tc>
          <w:tcPr>
            <w:tcW w:w="1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116992E" w14:textId="77777777" w:rsidR="00E7663A" w:rsidRPr="00E7663A" w:rsidRDefault="00E7663A" w:rsidP="00E7663A">
            <w:pPr>
              <w:spacing w:before="0" w:after="0"/>
              <w:ind w:firstLine="0"/>
              <w:jc w:val="left"/>
              <w:rPr>
                <w:rFonts w:eastAsia="Times New Roman" w:cs="Times New Roman"/>
                <w:color w:val="auto"/>
                <w:sz w:val="24"/>
                <w:szCs w:val="24"/>
                <w:lang w:eastAsia="uk-UA"/>
              </w:rPr>
            </w:pPr>
            <w:r w:rsidRPr="00E7663A">
              <w:rPr>
                <w:rFonts w:eastAsia="Times New Roman" w:cs="Times New Roman"/>
                <w:color w:val="auto"/>
                <w:sz w:val="24"/>
                <w:szCs w:val="24"/>
                <w:lang w:eastAsia="uk-UA"/>
              </w:rPr>
              <w:t>Відмінний (AAA-A)</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AFF42C4" w14:textId="77777777" w:rsidR="00E7663A" w:rsidRPr="00E7663A" w:rsidRDefault="00E7663A" w:rsidP="00E7663A">
            <w:pPr>
              <w:spacing w:before="0" w:after="0"/>
              <w:ind w:firstLine="0"/>
              <w:jc w:val="center"/>
              <w:rPr>
                <w:rFonts w:eastAsia="Times New Roman" w:cs="Times New Roman"/>
                <w:color w:val="auto"/>
                <w:sz w:val="24"/>
                <w:szCs w:val="24"/>
                <w:lang w:eastAsia="uk-UA"/>
              </w:rPr>
            </w:pPr>
            <w:r w:rsidRPr="00E7663A">
              <w:rPr>
                <w:rFonts w:eastAsia="Times New Roman" w:cs="Times New Roman"/>
                <w:color w:val="auto"/>
                <w:sz w:val="24"/>
                <w:szCs w:val="24"/>
                <w:lang w:eastAsia="uk-UA"/>
              </w:rPr>
              <w:t>60</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DB136DD" w14:textId="77777777" w:rsidR="00E7663A" w:rsidRPr="00E7663A" w:rsidRDefault="00E7663A" w:rsidP="00E7663A">
            <w:pPr>
              <w:spacing w:before="0" w:after="0"/>
              <w:ind w:firstLine="0"/>
              <w:jc w:val="center"/>
              <w:rPr>
                <w:rFonts w:eastAsia="Times New Roman" w:cs="Times New Roman"/>
                <w:color w:val="auto"/>
                <w:sz w:val="24"/>
                <w:szCs w:val="24"/>
                <w:lang w:eastAsia="uk-UA"/>
              </w:rPr>
            </w:pPr>
            <w:r w:rsidRPr="00E7663A">
              <w:rPr>
                <w:rFonts w:eastAsia="Times New Roman" w:cs="Times New Roman"/>
                <w:color w:val="auto"/>
                <w:sz w:val="24"/>
                <w:szCs w:val="24"/>
                <w:lang w:eastAsia="uk-UA"/>
              </w:rPr>
              <w:t>75</w:t>
            </w:r>
          </w:p>
        </w:tc>
        <w:tc>
          <w:tcPr>
            <w:tcW w:w="1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2929812" w14:textId="77777777" w:rsidR="00E7663A" w:rsidRPr="00E7663A" w:rsidRDefault="00E7663A" w:rsidP="00E7663A">
            <w:pPr>
              <w:spacing w:before="0" w:after="0"/>
              <w:ind w:firstLine="0"/>
              <w:jc w:val="center"/>
              <w:rPr>
                <w:rFonts w:eastAsia="Times New Roman" w:cs="Times New Roman"/>
                <w:color w:val="auto"/>
                <w:sz w:val="24"/>
                <w:szCs w:val="24"/>
                <w:lang w:eastAsia="uk-UA"/>
              </w:rPr>
            </w:pPr>
            <w:r w:rsidRPr="00E7663A">
              <w:rPr>
                <w:rFonts w:eastAsia="Times New Roman" w:cs="Times New Roman"/>
                <w:color w:val="auto"/>
                <w:sz w:val="24"/>
                <w:szCs w:val="24"/>
                <w:lang w:eastAsia="uk-UA"/>
              </w:rPr>
              <w:t>100</w:t>
            </w:r>
          </w:p>
        </w:tc>
      </w:tr>
      <w:tr w:rsidR="00E7663A" w:rsidRPr="00E7663A" w14:paraId="54D93563" w14:textId="77777777" w:rsidTr="00E7663A">
        <w:tc>
          <w:tcPr>
            <w:tcW w:w="1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8C8CD28" w14:textId="77777777" w:rsidR="00E7663A" w:rsidRPr="00E7663A" w:rsidRDefault="00E7663A" w:rsidP="00E7663A">
            <w:pPr>
              <w:spacing w:before="0" w:after="0"/>
              <w:ind w:firstLine="0"/>
              <w:jc w:val="left"/>
              <w:rPr>
                <w:rFonts w:eastAsia="Times New Roman" w:cs="Times New Roman"/>
                <w:color w:val="auto"/>
                <w:sz w:val="24"/>
                <w:szCs w:val="24"/>
                <w:lang w:eastAsia="uk-UA"/>
              </w:rPr>
            </w:pPr>
            <w:r w:rsidRPr="00E7663A">
              <w:rPr>
                <w:rFonts w:eastAsia="Times New Roman" w:cs="Times New Roman"/>
                <w:color w:val="auto"/>
                <w:sz w:val="24"/>
                <w:szCs w:val="24"/>
                <w:lang w:eastAsia="uk-UA"/>
              </w:rPr>
              <w:t>Добрий (BBB)</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A734F80" w14:textId="77777777" w:rsidR="00E7663A" w:rsidRPr="00E7663A" w:rsidRDefault="00E7663A" w:rsidP="00E7663A">
            <w:pPr>
              <w:spacing w:before="0" w:after="0"/>
              <w:ind w:firstLine="0"/>
              <w:jc w:val="center"/>
              <w:rPr>
                <w:rFonts w:eastAsia="Times New Roman" w:cs="Times New Roman"/>
                <w:color w:val="auto"/>
                <w:sz w:val="24"/>
                <w:szCs w:val="24"/>
                <w:lang w:eastAsia="uk-UA"/>
              </w:rPr>
            </w:pPr>
            <w:r w:rsidRPr="00E7663A">
              <w:rPr>
                <w:rFonts w:eastAsia="Times New Roman" w:cs="Times New Roman"/>
                <w:color w:val="auto"/>
                <w:sz w:val="24"/>
                <w:szCs w:val="24"/>
                <w:lang w:eastAsia="uk-UA"/>
              </w:rPr>
              <w:t>75</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4BD9E6C" w14:textId="77777777" w:rsidR="00E7663A" w:rsidRPr="00E7663A" w:rsidRDefault="00E7663A" w:rsidP="00E7663A">
            <w:pPr>
              <w:spacing w:before="0" w:after="0"/>
              <w:ind w:firstLine="0"/>
              <w:jc w:val="center"/>
              <w:rPr>
                <w:rFonts w:eastAsia="Times New Roman" w:cs="Times New Roman"/>
                <w:color w:val="auto"/>
                <w:sz w:val="24"/>
                <w:szCs w:val="24"/>
                <w:lang w:eastAsia="uk-UA"/>
              </w:rPr>
            </w:pPr>
            <w:r w:rsidRPr="00E7663A">
              <w:rPr>
                <w:rFonts w:eastAsia="Times New Roman" w:cs="Times New Roman"/>
                <w:color w:val="auto"/>
                <w:sz w:val="24"/>
                <w:szCs w:val="24"/>
                <w:lang w:eastAsia="uk-UA"/>
              </w:rPr>
              <w:t>100</w:t>
            </w:r>
          </w:p>
        </w:tc>
        <w:tc>
          <w:tcPr>
            <w:tcW w:w="1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9733C32" w14:textId="77777777" w:rsidR="00E7663A" w:rsidRPr="00E7663A" w:rsidRDefault="00E7663A" w:rsidP="00E7663A">
            <w:pPr>
              <w:spacing w:before="0" w:after="0"/>
              <w:ind w:firstLine="0"/>
              <w:jc w:val="center"/>
              <w:rPr>
                <w:rFonts w:eastAsia="Times New Roman" w:cs="Times New Roman"/>
                <w:color w:val="auto"/>
                <w:sz w:val="24"/>
                <w:szCs w:val="24"/>
                <w:lang w:eastAsia="uk-UA"/>
              </w:rPr>
            </w:pPr>
            <w:r w:rsidRPr="00E7663A">
              <w:rPr>
                <w:rFonts w:eastAsia="Times New Roman" w:cs="Times New Roman"/>
                <w:color w:val="auto"/>
                <w:sz w:val="24"/>
                <w:szCs w:val="24"/>
                <w:lang w:eastAsia="uk-UA"/>
              </w:rPr>
              <w:t>220</w:t>
            </w:r>
          </w:p>
        </w:tc>
      </w:tr>
      <w:tr w:rsidR="00E7663A" w:rsidRPr="00E7663A" w14:paraId="3DCE7F98" w14:textId="77777777" w:rsidTr="00E7663A">
        <w:tc>
          <w:tcPr>
            <w:tcW w:w="1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BE1EE1C" w14:textId="77777777" w:rsidR="00E7663A" w:rsidRPr="00E7663A" w:rsidRDefault="00E7663A" w:rsidP="00E7663A">
            <w:pPr>
              <w:spacing w:before="0" w:after="0"/>
              <w:ind w:firstLine="0"/>
              <w:jc w:val="left"/>
              <w:rPr>
                <w:rFonts w:eastAsia="Times New Roman" w:cs="Times New Roman"/>
                <w:color w:val="auto"/>
                <w:sz w:val="24"/>
                <w:szCs w:val="24"/>
                <w:lang w:eastAsia="uk-UA"/>
              </w:rPr>
            </w:pPr>
            <w:r w:rsidRPr="00E7663A">
              <w:rPr>
                <w:rFonts w:eastAsia="Times New Roman" w:cs="Times New Roman"/>
                <w:color w:val="auto"/>
                <w:sz w:val="24"/>
                <w:szCs w:val="24"/>
                <w:lang w:eastAsia="uk-UA"/>
              </w:rPr>
              <w:t>Задовільний (BB)</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578652B" w14:textId="77777777" w:rsidR="00E7663A" w:rsidRPr="00E7663A" w:rsidRDefault="00E7663A" w:rsidP="00E7663A">
            <w:pPr>
              <w:spacing w:before="0" w:after="0"/>
              <w:ind w:firstLine="0"/>
              <w:jc w:val="center"/>
              <w:rPr>
                <w:rFonts w:eastAsia="Times New Roman" w:cs="Times New Roman"/>
                <w:color w:val="auto"/>
                <w:sz w:val="24"/>
                <w:szCs w:val="24"/>
                <w:lang w:eastAsia="uk-UA"/>
              </w:rPr>
            </w:pPr>
            <w:r w:rsidRPr="00E7663A">
              <w:rPr>
                <w:rFonts w:eastAsia="Times New Roman" w:cs="Times New Roman"/>
                <w:color w:val="auto"/>
                <w:sz w:val="24"/>
                <w:szCs w:val="24"/>
                <w:lang w:eastAsia="uk-UA"/>
              </w:rPr>
              <w:t>100</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6CDD08D" w14:textId="77777777" w:rsidR="00E7663A" w:rsidRPr="00E7663A" w:rsidRDefault="00E7663A" w:rsidP="00E7663A">
            <w:pPr>
              <w:spacing w:before="0" w:after="0"/>
              <w:ind w:firstLine="0"/>
              <w:jc w:val="center"/>
              <w:rPr>
                <w:rFonts w:eastAsia="Times New Roman" w:cs="Times New Roman"/>
                <w:color w:val="auto"/>
                <w:sz w:val="24"/>
                <w:szCs w:val="24"/>
                <w:lang w:eastAsia="uk-UA"/>
              </w:rPr>
            </w:pPr>
            <w:r w:rsidRPr="00E7663A">
              <w:rPr>
                <w:rFonts w:eastAsia="Times New Roman" w:cs="Times New Roman"/>
                <w:color w:val="auto"/>
                <w:sz w:val="24"/>
                <w:szCs w:val="24"/>
                <w:lang w:eastAsia="uk-UA"/>
              </w:rPr>
              <w:t>220</w:t>
            </w:r>
          </w:p>
        </w:tc>
        <w:tc>
          <w:tcPr>
            <w:tcW w:w="1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0C69853" w14:textId="77777777" w:rsidR="00E7663A" w:rsidRPr="00E7663A" w:rsidRDefault="00E7663A" w:rsidP="00E7663A">
            <w:pPr>
              <w:spacing w:before="0" w:after="0"/>
              <w:ind w:firstLine="0"/>
              <w:jc w:val="center"/>
              <w:rPr>
                <w:rFonts w:eastAsia="Times New Roman" w:cs="Times New Roman"/>
                <w:color w:val="auto"/>
                <w:sz w:val="24"/>
                <w:szCs w:val="24"/>
                <w:lang w:eastAsia="uk-UA"/>
              </w:rPr>
            </w:pPr>
            <w:r w:rsidRPr="00E7663A">
              <w:rPr>
                <w:rFonts w:eastAsia="Times New Roman" w:cs="Times New Roman"/>
                <w:color w:val="auto"/>
                <w:sz w:val="24"/>
                <w:szCs w:val="24"/>
                <w:lang w:eastAsia="uk-UA"/>
              </w:rPr>
              <w:t>400</w:t>
            </w:r>
          </w:p>
        </w:tc>
      </w:tr>
      <w:tr w:rsidR="00E7663A" w:rsidRPr="00E7663A" w14:paraId="08DC7827" w14:textId="77777777" w:rsidTr="00E7663A">
        <w:tc>
          <w:tcPr>
            <w:tcW w:w="1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601C316" w14:textId="77777777" w:rsidR="00E7663A" w:rsidRPr="00E7663A" w:rsidRDefault="00E7663A" w:rsidP="00E7663A">
            <w:pPr>
              <w:spacing w:before="0" w:after="0"/>
              <w:ind w:firstLine="0"/>
              <w:jc w:val="left"/>
              <w:rPr>
                <w:rFonts w:eastAsia="Times New Roman" w:cs="Times New Roman"/>
                <w:color w:val="auto"/>
                <w:sz w:val="24"/>
                <w:szCs w:val="24"/>
                <w:lang w:eastAsia="uk-UA"/>
              </w:rPr>
            </w:pPr>
            <w:r w:rsidRPr="00E7663A">
              <w:rPr>
                <w:rFonts w:eastAsia="Times New Roman" w:cs="Times New Roman"/>
                <w:color w:val="auto"/>
                <w:sz w:val="24"/>
                <w:szCs w:val="24"/>
                <w:lang w:eastAsia="uk-UA"/>
              </w:rPr>
              <w:t>Слабкий (B)</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CA5E6CD" w14:textId="77777777" w:rsidR="00E7663A" w:rsidRPr="00E7663A" w:rsidRDefault="00E7663A" w:rsidP="00E7663A">
            <w:pPr>
              <w:spacing w:before="0" w:after="0"/>
              <w:ind w:firstLine="0"/>
              <w:jc w:val="center"/>
              <w:rPr>
                <w:rFonts w:eastAsia="Times New Roman" w:cs="Times New Roman"/>
                <w:color w:val="auto"/>
                <w:sz w:val="24"/>
                <w:szCs w:val="24"/>
                <w:lang w:eastAsia="uk-UA"/>
              </w:rPr>
            </w:pPr>
            <w:r w:rsidRPr="00E7663A">
              <w:rPr>
                <w:rFonts w:eastAsia="Times New Roman" w:cs="Times New Roman"/>
                <w:color w:val="auto"/>
                <w:sz w:val="24"/>
                <w:szCs w:val="24"/>
                <w:lang w:eastAsia="uk-UA"/>
              </w:rPr>
              <w:t>220</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3942F14" w14:textId="77777777" w:rsidR="00E7663A" w:rsidRPr="00E7663A" w:rsidRDefault="00E7663A" w:rsidP="00E7663A">
            <w:pPr>
              <w:spacing w:before="0" w:after="0"/>
              <w:ind w:firstLine="0"/>
              <w:jc w:val="center"/>
              <w:rPr>
                <w:rFonts w:eastAsia="Times New Roman" w:cs="Times New Roman"/>
                <w:color w:val="auto"/>
                <w:sz w:val="24"/>
                <w:szCs w:val="24"/>
                <w:lang w:eastAsia="uk-UA"/>
              </w:rPr>
            </w:pPr>
            <w:r w:rsidRPr="00E7663A">
              <w:rPr>
                <w:rFonts w:eastAsia="Times New Roman" w:cs="Times New Roman"/>
                <w:color w:val="auto"/>
                <w:sz w:val="24"/>
                <w:szCs w:val="24"/>
                <w:lang w:eastAsia="uk-UA"/>
              </w:rPr>
              <w:t>400</w:t>
            </w:r>
          </w:p>
        </w:tc>
        <w:tc>
          <w:tcPr>
            <w:tcW w:w="1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6DEB541" w14:textId="77777777" w:rsidR="00E7663A" w:rsidRPr="00E7663A" w:rsidRDefault="00E7663A" w:rsidP="00E7663A">
            <w:pPr>
              <w:spacing w:before="0" w:after="0"/>
              <w:ind w:firstLine="0"/>
              <w:jc w:val="center"/>
              <w:rPr>
                <w:rFonts w:eastAsia="Times New Roman" w:cs="Times New Roman"/>
                <w:color w:val="auto"/>
                <w:sz w:val="24"/>
                <w:szCs w:val="24"/>
                <w:lang w:eastAsia="uk-UA"/>
              </w:rPr>
            </w:pPr>
            <w:r w:rsidRPr="00E7663A">
              <w:rPr>
                <w:rFonts w:eastAsia="Times New Roman" w:cs="Times New Roman"/>
                <w:color w:val="auto"/>
                <w:sz w:val="24"/>
                <w:szCs w:val="24"/>
                <w:lang w:eastAsia="uk-UA"/>
              </w:rPr>
              <w:t>650</w:t>
            </w:r>
          </w:p>
        </w:tc>
      </w:tr>
      <w:tr w:rsidR="00E7663A" w:rsidRPr="00E7663A" w14:paraId="162275C5" w14:textId="77777777" w:rsidTr="00E7663A">
        <w:tc>
          <w:tcPr>
            <w:tcW w:w="1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CFA151C" w14:textId="77777777" w:rsidR="00E7663A" w:rsidRPr="00E7663A" w:rsidRDefault="00E7663A" w:rsidP="00E7663A">
            <w:pPr>
              <w:spacing w:before="0" w:after="0"/>
              <w:ind w:firstLine="0"/>
              <w:jc w:val="left"/>
              <w:rPr>
                <w:rFonts w:eastAsia="Times New Roman" w:cs="Times New Roman"/>
                <w:color w:val="auto"/>
                <w:sz w:val="24"/>
                <w:szCs w:val="24"/>
                <w:lang w:eastAsia="uk-UA"/>
              </w:rPr>
            </w:pPr>
            <w:r w:rsidRPr="00E7663A">
              <w:rPr>
                <w:rFonts w:eastAsia="Times New Roman" w:cs="Times New Roman"/>
                <w:color w:val="auto"/>
                <w:sz w:val="24"/>
                <w:szCs w:val="24"/>
                <w:lang w:eastAsia="uk-UA"/>
              </w:rPr>
              <w:lastRenderedPageBreak/>
              <w:t>Збитковий / фінансові труднощі (CCC і нижче)</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1089BB3" w14:textId="77777777" w:rsidR="00E7663A" w:rsidRPr="00E7663A" w:rsidRDefault="00E7663A" w:rsidP="00E7663A">
            <w:pPr>
              <w:spacing w:before="0" w:after="0"/>
              <w:ind w:firstLine="0"/>
              <w:jc w:val="center"/>
              <w:rPr>
                <w:rFonts w:eastAsia="Times New Roman" w:cs="Times New Roman"/>
                <w:color w:val="auto"/>
                <w:sz w:val="24"/>
                <w:szCs w:val="24"/>
                <w:lang w:eastAsia="uk-UA"/>
              </w:rPr>
            </w:pPr>
            <w:r w:rsidRPr="00E7663A">
              <w:rPr>
                <w:rFonts w:eastAsia="Times New Roman" w:cs="Times New Roman"/>
                <w:color w:val="auto"/>
                <w:sz w:val="24"/>
                <w:szCs w:val="24"/>
                <w:lang w:eastAsia="uk-UA"/>
              </w:rPr>
              <w:t>400</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24A1BA2" w14:textId="77777777" w:rsidR="00E7663A" w:rsidRPr="00E7663A" w:rsidRDefault="00E7663A" w:rsidP="00E7663A">
            <w:pPr>
              <w:spacing w:before="0" w:after="0"/>
              <w:ind w:firstLine="0"/>
              <w:jc w:val="center"/>
              <w:rPr>
                <w:rFonts w:eastAsia="Times New Roman" w:cs="Times New Roman"/>
                <w:color w:val="auto"/>
                <w:sz w:val="24"/>
                <w:szCs w:val="24"/>
                <w:lang w:eastAsia="uk-UA"/>
              </w:rPr>
            </w:pPr>
            <w:r w:rsidRPr="00E7663A">
              <w:rPr>
                <w:rFonts w:eastAsia="Times New Roman" w:cs="Times New Roman"/>
                <w:color w:val="auto"/>
                <w:sz w:val="24"/>
                <w:szCs w:val="24"/>
                <w:lang w:eastAsia="uk-UA"/>
              </w:rPr>
              <w:t>650</w:t>
            </w:r>
          </w:p>
        </w:tc>
        <w:tc>
          <w:tcPr>
            <w:tcW w:w="1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0130E90" w14:textId="77777777" w:rsidR="00E7663A" w:rsidRPr="00E7663A" w:rsidRDefault="00E7663A" w:rsidP="00E7663A">
            <w:pPr>
              <w:spacing w:before="0" w:after="0"/>
              <w:ind w:firstLine="0"/>
              <w:jc w:val="center"/>
              <w:rPr>
                <w:rFonts w:eastAsia="Times New Roman" w:cs="Times New Roman"/>
                <w:color w:val="auto"/>
                <w:sz w:val="24"/>
                <w:szCs w:val="24"/>
                <w:lang w:eastAsia="uk-UA"/>
              </w:rPr>
            </w:pPr>
            <w:r w:rsidRPr="00E7663A">
              <w:rPr>
                <w:rFonts w:eastAsia="Times New Roman" w:cs="Times New Roman"/>
                <w:color w:val="auto"/>
                <w:sz w:val="24"/>
                <w:szCs w:val="24"/>
                <w:lang w:eastAsia="uk-UA"/>
              </w:rPr>
              <w:t>1000</w:t>
            </w:r>
          </w:p>
        </w:tc>
      </w:tr>
    </w:tbl>
    <w:p w14:paraId="430CB6AC" w14:textId="77777777" w:rsidR="00E7663A" w:rsidRPr="00E7663A" w:rsidRDefault="00E7663A" w:rsidP="00E7663A">
      <w:pPr>
        <w:shd w:val="clear" w:color="auto" w:fill="FFFFFF"/>
        <w:spacing w:before="0" w:after="0"/>
        <w:ind w:firstLine="0"/>
        <w:rPr>
          <w:rFonts w:ascii="IBM Plex Serif" w:eastAsia="Times New Roman" w:hAnsi="IBM Plex Serif" w:cs="Times New Roman"/>
          <w:color w:val="293A55"/>
          <w:sz w:val="24"/>
          <w:szCs w:val="24"/>
          <w:lang w:eastAsia="uk-UA"/>
        </w:rPr>
      </w:pPr>
      <w:r w:rsidRPr="00E7663A">
        <w:rPr>
          <w:rFonts w:ascii="IBM Plex Serif" w:eastAsia="Times New Roman" w:hAnsi="IBM Plex Serif" w:cs="Times New Roman"/>
          <w:color w:val="293A55"/>
          <w:sz w:val="24"/>
          <w:szCs w:val="24"/>
          <w:lang w:eastAsia="uk-UA"/>
        </w:rPr>
        <w:t>Зазвичай, у разі надання кредиту чи позики підприємствам принаймні із задовільним рейтингом і високим чи стандартним рівнем забезпечення застави, до базової ставки додається 100 базисних пунктів. У разі якщо позичальники не мають кредитної історії або рейтингу на основі балансового підходу (наприклад, певні компанії спеціального призначення або компанії-початківці), базову ставку слід збільшити принаймні на 400 базисних пунктів (залежно від рівня застави). Разом із тим маржа для таких підприємств ніколи не може бути нижчою за ту, яка була б застосована до материнської компанії. Зазначені вище показники маржі можуть час від часу переглядатися з урахуванням ситуації на ринку.</w:t>
      </w:r>
    </w:p>
    <w:p w14:paraId="59C8AF7D" w14:textId="77777777" w:rsidR="00E7663A" w:rsidRPr="00E7663A" w:rsidRDefault="00E7663A" w:rsidP="00E7663A">
      <w:pPr>
        <w:shd w:val="clear" w:color="auto" w:fill="FFFFFF"/>
        <w:spacing w:before="0" w:after="0"/>
        <w:ind w:firstLine="0"/>
        <w:rPr>
          <w:rFonts w:ascii="IBM Plex Serif" w:eastAsia="Times New Roman" w:hAnsi="IBM Plex Serif" w:cs="Times New Roman"/>
          <w:color w:val="293A55"/>
          <w:sz w:val="24"/>
          <w:szCs w:val="24"/>
          <w:lang w:eastAsia="uk-UA"/>
        </w:rPr>
      </w:pPr>
      <w:r w:rsidRPr="00E7663A">
        <w:rPr>
          <w:rFonts w:ascii="IBM Plex Serif" w:eastAsia="Times New Roman" w:hAnsi="IBM Plex Serif" w:cs="Times New Roman"/>
          <w:color w:val="293A55"/>
          <w:sz w:val="24"/>
          <w:szCs w:val="24"/>
          <w:lang w:eastAsia="uk-UA"/>
        </w:rPr>
        <w:t>Рейтинги не потрібно отримувати від певних рейтингових агентств, однаково прийнятними є національні рейтингові системи або рейтингові системи, які використовуються банками для відображення рівня дефолту.</w:t>
      </w:r>
    </w:p>
    <w:p w14:paraId="0301216F" w14:textId="77777777" w:rsidR="00E7663A" w:rsidRPr="00E7663A" w:rsidRDefault="00E7663A" w:rsidP="00E7663A">
      <w:pPr>
        <w:shd w:val="clear" w:color="auto" w:fill="FFFFFF"/>
        <w:spacing w:before="0" w:after="0"/>
        <w:ind w:firstLine="0"/>
        <w:rPr>
          <w:rFonts w:ascii="IBM Plex Serif" w:eastAsia="Times New Roman" w:hAnsi="IBM Plex Serif" w:cs="Times New Roman"/>
          <w:color w:val="293A55"/>
          <w:sz w:val="24"/>
          <w:szCs w:val="24"/>
          <w:lang w:eastAsia="uk-UA"/>
        </w:rPr>
      </w:pPr>
      <w:r w:rsidRPr="00E7663A">
        <w:rPr>
          <w:rFonts w:ascii="IBM Plex Serif" w:eastAsia="Times New Roman" w:hAnsi="IBM Plex Serif" w:cs="Times New Roman"/>
          <w:color w:val="293A55"/>
          <w:sz w:val="24"/>
          <w:szCs w:val="24"/>
          <w:lang w:eastAsia="uk-UA"/>
        </w:rPr>
        <w:t>Після встановлення ринкової (референтної) ставки та фактичної відсоткової ставки для гарантованої позики може бути встановлено, чи наявний елемент державної допомоги:</w:t>
      </w:r>
    </w:p>
    <w:p w14:paraId="5D6C5CB0" w14:textId="77777777" w:rsidR="00E7663A" w:rsidRPr="00E7663A" w:rsidRDefault="00E7663A" w:rsidP="00E7663A">
      <w:pPr>
        <w:shd w:val="clear" w:color="auto" w:fill="FFFFFF"/>
        <w:spacing w:before="0" w:after="0"/>
        <w:ind w:firstLine="0"/>
        <w:jc w:val="center"/>
        <w:rPr>
          <w:rFonts w:ascii="IBM Plex Serif" w:eastAsia="Times New Roman" w:hAnsi="IBM Plex Serif" w:cs="Times New Roman"/>
          <w:color w:val="293A55"/>
          <w:sz w:val="24"/>
          <w:szCs w:val="24"/>
          <w:lang w:eastAsia="uk-UA"/>
        </w:rPr>
      </w:pPr>
      <w:r w:rsidRPr="00E7663A">
        <w:rPr>
          <w:rFonts w:ascii="IBM Plex Serif" w:eastAsia="Times New Roman" w:hAnsi="IBM Plex Serif" w:cs="Times New Roman"/>
          <w:b/>
          <w:bCs/>
          <w:color w:val="293A55"/>
          <w:sz w:val="24"/>
          <w:szCs w:val="24"/>
          <w:lang w:eastAsia="uk-UA"/>
        </w:rPr>
        <w:t>Елемент державної допомоги = ринкова (референтна) ставка - фактична відсоткова ставка для гарантованої позики</w:t>
      </w:r>
    </w:p>
    <w:p w14:paraId="212CC314" w14:textId="77777777" w:rsidR="00E7663A" w:rsidRPr="00E7663A" w:rsidRDefault="00E7663A" w:rsidP="00E7663A">
      <w:pPr>
        <w:shd w:val="clear" w:color="auto" w:fill="FFFFFF"/>
        <w:spacing w:before="0" w:after="0"/>
        <w:ind w:firstLine="0"/>
        <w:rPr>
          <w:rFonts w:ascii="IBM Plex Serif" w:eastAsia="Times New Roman" w:hAnsi="IBM Plex Serif" w:cs="Times New Roman"/>
          <w:color w:val="293A55"/>
          <w:sz w:val="24"/>
          <w:szCs w:val="24"/>
          <w:lang w:eastAsia="uk-UA"/>
        </w:rPr>
      </w:pPr>
      <w:r w:rsidRPr="00E7663A">
        <w:rPr>
          <w:rFonts w:ascii="IBM Plex Serif" w:eastAsia="Times New Roman" w:hAnsi="IBM Plex Serif" w:cs="Times New Roman"/>
          <w:color w:val="293A55"/>
          <w:sz w:val="24"/>
          <w:szCs w:val="24"/>
          <w:u w:val="single"/>
          <w:lang w:eastAsia="uk-UA"/>
        </w:rPr>
        <w:t>Якщо ринкова відсоткова ставка без гарантії вища відсоткової ставки за кредитом,</w:t>
      </w:r>
      <w:r w:rsidRPr="00E7663A">
        <w:rPr>
          <w:rFonts w:ascii="IBM Plex Serif" w:eastAsia="Times New Roman" w:hAnsi="IBM Plex Serif" w:cs="Times New Roman"/>
          <w:color w:val="293A55"/>
          <w:sz w:val="24"/>
          <w:szCs w:val="24"/>
          <w:lang w:eastAsia="uk-UA"/>
        </w:rPr>
        <w:t> таке фінансування надаватиме переваги отримувачу гарантії, а отже, </w:t>
      </w:r>
      <w:r w:rsidRPr="00E7663A">
        <w:rPr>
          <w:rFonts w:ascii="IBM Plex Serif" w:eastAsia="Times New Roman" w:hAnsi="IBM Plex Serif" w:cs="Times New Roman"/>
          <w:color w:val="293A55"/>
          <w:sz w:val="24"/>
          <w:szCs w:val="24"/>
          <w:u w:val="single"/>
          <w:lang w:eastAsia="uk-UA"/>
        </w:rPr>
        <w:t>міститиме ознаки державної допомоги.</w:t>
      </w:r>
    </w:p>
    <w:p w14:paraId="4D449967" w14:textId="77777777" w:rsidR="00E7663A" w:rsidRPr="00E7663A" w:rsidRDefault="00E7663A" w:rsidP="00E7663A">
      <w:pPr>
        <w:shd w:val="clear" w:color="auto" w:fill="FFFFFF"/>
        <w:spacing w:before="0" w:after="0"/>
        <w:ind w:firstLine="0"/>
        <w:rPr>
          <w:rFonts w:ascii="IBM Plex Serif" w:eastAsia="Times New Roman" w:hAnsi="IBM Plex Serif" w:cs="Times New Roman"/>
          <w:color w:val="293A55"/>
          <w:sz w:val="24"/>
          <w:szCs w:val="24"/>
          <w:lang w:eastAsia="uk-UA"/>
        </w:rPr>
      </w:pPr>
      <w:r w:rsidRPr="00E7663A">
        <w:rPr>
          <w:rFonts w:ascii="IBM Plex Serif" w:eastAsia="Times New Roman" w:hAnsi="IBM Plex Serif" w:cs="Times New Roman"/>
          <w:color w:val="293A55"/>
          <w:sz w:val="24"/>
          <w:szCs w:val="24"/>
          <w:lang w:eastAsia="uk-UA"/>
        </w:rPr>
        <w:t>З метою перевірки дотримання максимально допустимого розміру державної допомоги та встановлення інтенсивності такої державної допомоги необхідно розрахувати приведену (поточну) вартість грошового еквіваленту державної допомоги, з урахуванням дисконтування за весь період надання державної допомоги.</w:t>
      </w:r>
    </w:p>
    <w:p w14:paraId="5BBDD4AA" w14:textId="77777777" w:rsidR="00E7663A" w:rsidRPr="00E7663A" w:rsidRDefault="00E7663A" w:rsidP="00E7663A">
      <w:pPr>
        <w:shd w:val="clear" w:color="auto" w:fill="FFFFFF"/>
        <w:spacing w:before="0" w:after="0"/>
        <w:ind w:firstLine="0"/>
        <w:rPr>
          <w:rFonts w:ascii="IBM Plex Serif" w:eastAsia="Times New Roman" w:hAnsi="IBM Plex Serif" w:cs="Times New Roman"/>
          <w:color w:val="293A55"/>
          <w:sz w:val="24"/>
          <w:szCs w:val="24"/>
          <w:lang w:eastAsia="uk-UA"/>
        </w:rPr>
      </w:pPr>
      <w:r w:rsidRPr="00E7663A">
        <w:rPr>
          <w:rFonts w:ascii="IBM Plex Serif" w:eastAsia="Times New Roman" w:hAnsi="IBM Plex Serif" w:cs="Times New Roman"/>
          <w:color w:val="293A55"/>
          <w:sz w:val="24"/>
          <w:szCs w:val="24"/>
          <w:lang w:eastAsia="uk-UA"/>
        </w:rPr>
        <w:t>Грошовий еквівалент державної допомоги у формі гарантії розраховується з урахуванням ринкової ставки, фактичної відсоткової ставки для гарантованої позики, тривалості кредиту та ставки дисконтування:</w:t>
      </w:r>
    </w:p>
    <w:tbl>
      <w:tblPr>
        <w:tblW w:w="10500" w:type="dxa"/>
        <w:jc w:val="center"/>
        <w:tblCellMar>
          <w:top w:w="15" w:type="dxa"/>
          <w:left w:w="15" w:type="dxa"/>
          <w:bottom w:w="15" w:type="dxa"/>
          <w:right w:w="15" w:type="dxa"/>
        </w:tblCellMar>
        <w:tblLook w:val="04A0" w:firstRow="1" w:lastRow="0" w:firstColumn="1" w:lastColumn="0" w:noHBand="0" w:noVBand="1"/>
      </w:tblPr>
      <w:tblGrid>
        <w:gridCol w:w="7665"/>
        <w:gridCol w:w="2835"/>
      </w:tblGrid>
      <w:tr w:rsidR="00E7663A" w:rsidRPr="00E7663A" w14:paraId="18C408F0" w14:textId="77777777" w:rsidTr="00E7663A">
        <w:trPr>
          <w:jc w:val="center"/>
        </w:trPr>
        <w:tc>
          <w:tcPr>
            <w:tcW w:w="3650" w:type="pct"/>
            <w:shd w:val="clear" w:color="auto" w:fill="auto"/>
            <w:tcMar>
              <w:top w:w="0" w:type="dxa"/>
              <w:left w:w="0" w:type="dxa"/>
              <w:bottom w:w="0" w:type="dxa"/>
              <w:right w:w="0" w:type="dxa"/>
            </w:tcMar>
            <w:vAlign w:val="center"/>
            <w:hideMark/>
          </w:tcPr>
          <w:p w14:paraId="1C946C34" w14:textId="52124B26" w:rsidR="00E7663A" w:rsidRPr="00E7663A" w:rsidRDefault="00E7663A" w:rsidP="00E7663A">
            <w:pPr>
              <w:spacing w:before="0" w:after="0"/>
              <w:ind w:firstLine="0"/>
              <w:jc w:val="right"/>
              <w:rPr>
                <w:rFonts w:eastAsia="Times New Roman" w:cs="Times New Roman"/>
                <w:color w:val="auto"/>
                <w:sz w:val="24"/>
                <w:szCs w:val="24"/>
                <w:lang w:eastAsia="uk-UA"/>
              </w:rPr>
            </w:pPr>
            <w:r w:rsidRPr="00E7663A">
              <w:rPr>
                <w:rFonts w:eastAsia="Times New Roman" w:cs="Times New Roman"/>
                <w:color w:val="auto"/>
                <w:sz w:val="24"/>
                <w:szCs w:val="24"/>
                <w:lang w:eastAsia="uk-UA"/>
              </w:rPr>
              <w:t> </w:t>
            </w:r>
            <w:r w:rsidRPr="00E7663A">
              <w:rPr>
                <w:rFonts w:eastAsia="Times New Roman" w:cs="Times New Roman"/>
                <w:noProof/>
                <w:color w:val="auto"/>
                <w:sz w:val="24"/>
                <w:szCs w:val="24"/>
                <w:lang w:eastAsia="uk-UA"/>
              </w:rPr>
              <w:drawing>
                <wp:inline distT="0" distB="0" distL="0" distR="0" wp14:anchorId="64C6A278" wp14:editId="66AE918A">
                  <wp:extent cx="3436620" cy="33528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36620" cy="335280"/>
                          </a:xfrm>
                          <a:prstGeom prst="rect">
                            <a:avLst/>
                          </a:prstGeom>
                          <a:noFill/>
                          <a:ln>
                            <a:noFill/>
                          </a:ln>
                        </pic:spPr>
                      </pic:pic>
                    </a:graphicData>
                  </a:graphic>
                </wp:inline>
              </w:drawing>
            </w:r>
            <w:r w:rsidRPr="00E7663A">
              <w:rPr>
                <w:rFonts w:eastAsia="Times New Roman" w:cs="Times New Roman"/>
                <w:color w:val="auto"/>
                <w:sz w:val="24"/>
                <w:szCs w:val="24"/>
                <w:lang w:eastAsia="uk-UA"/>
              </w:rPr>
              <w:t> </w:t>
            </w:r>
          </w:p>
        </w:tc>
        <w:tc>
          <w:tcPr>
            <w:tcW w:w="1350" w:type="pct"/>
            <w:shd w:val="clear" w:color="auto" w:fill="auto"/>
            <w:tcMar>
              <w:top w:w="0" w:type="dxa"/>
              <w:left w:w="0" w:type="dxa"/>
              <w:bottom w:w="0" w:type="dxa"/>
              <w:right w:w="0" w:type="dxa"/>
            </w:tcMar>
            <w:vAlign w:val="center"/>
            <w:hideMark/>
          </w:tcPr>
          <w:p w14:paraId="0507D6B1" w14:textId="77777777" w:rsidR="00E7663A" w:rsidRPr="00E7663A" w:rsidRDefault="00E7663A" w:rsidP="00E7663A">
            <w:pPr>
              <w:spacing w:before="0" w:after="0"/>
              <w:ind w:firstLine="0"/>
              <w:jc w:val="left"/>
              <w:rPr>
                <w:rFonts w:eastAsia="Times New Roman" w:cs="Times New Roman"/>
                <w:color w:val="auto"/>
                <w:sz w:val="24"/>
                <w:szCs w:val="24"/>
                <w:lang w:eastAsia="uk-UA"/>
              </w:rPr>
            </w:pPr>
            <w:r w:rsidRPr="00E7663A">
              <w:rPr>
                <w:rFonts w:eastAsia="Times New Roman" w:cs="Times New Roman"/>
                <w:color w:val="auto"/>
                <w:sz w:val="24"/>
                <w:szCs w:val="24"/>
                <w:lang w:eastAsia="uk-UA"/>
              </w:rPr>
              <w:t>,</w:t>
            </w:r>
          </w:p>
        </w:tc>
      </w:tr>
    </w:tbl>
    <w:p w14:paraId="3397A15A" w14:textId="77777777" w:rsidR="00E7663A" w:rsidRPr="00E7663A" w:rsidRDefault="00E7663A" w:rsidP="00E7663A">
      <w:pPr>
        <w:shd w:val="clear" w:color="auto" w:fill="FFFFFF"/>
        <w:spacing w:before="0" w:after="0"/>
        <w:ind w:firstLine="0"/>
        <w:rPr>
          <w:rFonts w:ascii="IBM Plex Serif" w:eastAsia="Times New Roman" w:hAnsi="IBM Plex Serif" w:cs="Times New Roman"/>
          <w:color w:val="293A55"/>
          <w:sz w:val="24"/>
          <w:szCs w:val="24"/>
          <w:lang w:eastAsia="uk-UA"/>
        </w:rPr>
      </w:pPr>
      <w:r w:rsidRPr="00E7663A">
        <w:rPr>
          <w:rFonts w:ascii="IBM Plex Serif" w:eastAsia="Times New Roman" w:hAnsi="IBM Plex Serif" w:cs="Times New Roman"/>
          <w:color w:val="293A55"/>
          <w:sz w:val="24"/>
          <w:szCs w:val="24"/>
          <w:lang w:eastAsia="uk-UA"/>
        </w:rPr>
        <w:t>де:</w:t>
      </w:r>
    </w:p>
    <w:p w14:paraId="5B15BC15" w14:textId="77777777" w:rsidR="00E7663A" w:rsidRPr="00E7663A" w:rsidRDefault="00E7663A" w:rsidP="00E7663A">
      <w:pPr>
        <w:shd w:val="clear" w:color="auto" w:fill="FFFFFF"/>
        <w:spacing w:before="0" w:after="0"/>
        <w:ind w:firstLine="0"/>
        <w:rPr>
          <w:rFonts w:ascii="IBM Plex Serif" w:eastAsia="Times New Roman" w:hAnsi="IBM Plex Serif" w:cs="Times New Roman"/>
          <w:color w:val="293A55"/>
          <w:sz w:val="24"/>
          <w:szCs w:val="24"/>
          <w:lang w:eastAsia="uk-UA"/>
        </w:rPr>
      </w:pPr>
      <w:r w:rsidRPr="00E7663A">
        <w:rPr>
          <w:rFonts w:ascii="IBM Plex Serif" w:eastAsia="Times New Roman" w:hAnsi="IBM Plex Serif" w:cs="Times New Roman"/>
          <w:color w:val="293A55"/>
          <w:sz w:val="24"/>
          <w:szCs w:val="24"/>
          <w:lang w:eastAsia="uk-UA"/>
        </w:rPr>
        <w:t>GGE - приведена (поточна) вартість грошового еквіваленту державної допомоги;</w:t>
      </w:r>
    </w:p>
    <w:p w14:paraId="6BDD48EB" w14:textId="77777777" w:rsidR="00E7663A" w:rsidRPr="00E7663A" w:rsidRDefault="00E7663A" w:rsidP="00E7663A">
      <w:pPr>
        <w:shd w:val="clear" w:color="auto" w:fill="FFFFFF"/>
        <w:spacing w:before="0" w:after="0"/>
        <w:ind w:firstLine="0"/>
        <w:rPr>
          <w:rFonts w:ascii="IBM Plex Serif" w:eastAsia="Times New Roman" w:hAnsi="IBM Plex Serif" w:cs="Times New Roman"/>
          <w:color w:val="293A55"/>
          <w:sz w:val="24"/>
          <w:szCs w:val="24"/>
          <w:lang w:eastAsia="uk-UA"/>
        </w:rPr>
      </w:pPr>
      <w:r w:rsidRPr="00E7663A">
        <w:rPr>
          <w:rFonts w:ascii="IBM Plex Serif" w:eastAsia="Times New Roman" w:hAnsi="IBM Plex Serif" w:cs="Times New Roman"/>
          <w:color w:val="293A55"/>
          <w:sz w:val="24"/>
          <w:szCs w:val="24"/>
          <w:lang w:eastAsia="uk-UA"/>
        </w:rPr>
        <w:t>Q</w:t>
      </w:r>
      <w:r w:rsidRPr="00E7663A">
        <w:rPr>
          <w:rFonts w:ascii="IBM Plex Serif" w:eastAsia="Times New Roman" w:hAnsi="IBM Plex Serif" w:cs="Times New Roman"/>
          <w:color w:val="293A55"/>
          <w:sz w:val="18"/>
          <w:szCs w:val="18"/>
          <w:vertAlign w:val="subscript"/>
          <w:lang w:eastAsia="uk-UA"/>
        </w:rPr>
        <w:t>1</w:t>
      </w:r>
      <w:r w:rsidRPr="00E7663A">
        <w:rPr>
          <w:rFonts w:ascii="IBM Plex Serif" w:eastAsia="Times New Roman" w:hAnsi="IBM Plex Serif" w:cs="Times New Roman"/>
          <w:color w:val="293A55"/>
          <w:sz w:val="24"/>
          <w:szCs w:val="24"/>
          <w:lang w:eastAsia="uk-UA"/>
        </w:rPr>
        <w:t> - різниця між референтною ставкою та фактичною ставкою, помножена на непогашений кредит у перший рік;</w:t>
      </w:r>
    </w:p>
    <w:p w14:paraId="234350AA" w14:textId="77777777" w:rsidR="00E7663A" w:rsidRPr="00E7663A" w:rsidRDefault="00E7663A" w:rsidP="00E7663A">
      <w:pPr>
        <w:shd w:val="clear" w:color="auto" w:fill="FFFFFF"/>
        <w:spacing w:before="0" w:after="0"/>
        <w:ind w:firstLine="0"/>
        <w:rPr>
          <w:rFonts w:ascii="IBM Plex Serif" w:eastAsia="Times New Roman" w:hAnsi="IBM Plex Serif" w:cs="Times New Roman"/>
          <w:color w:val="293A55"/>
          <w:sz w:val="24"/>
          <w:szCs w:val="24"/>
          <w:lang w:eastAsia="uk-UA"/>
        </w:rPr>
      </w:pPr>
      <w:r w:rsidRPr="00E7663A">
        <w:rPr>
          <w:rFonts w:ascii="IBM Plex Serif" w:eastAsia="Times New Roman" w:hAnsi="IBM Plex Serif" w:cs="Times New Roman"/>
          <w:color w:val="293A55"/>
          <w:sz w:val="24"/>
          <w:szCs w:val="24"/>
          <w:lang w:eastAsia="uk-UA"/>
        </w:rPr>
        <w:t>Q</w:t>
      </w:r>
      <w:r w:rsidRPr="00E7663A">
        <w:rPr>
          <w:rFonts w:ascii="IBM Plex Serif" w:eastAsia="Times New Roman" w:hAnsi="IBM Plex Serif" w:cs="Times New Roman"/>
          <w:color w:val="293A55"/>
          <w:sz w:val="18"/>
          <w:szCs w:val="18"/>
          <w:vertAlign w:val="subscript"/>
          <w:lang w:eastAsia="uk-UA"/>
        </w:rPr>
        <w:t>2</w:t>
      </w:r>
      <w:r w:rsidRPr="00E7663A">
        <w:rPr>
          <w:rFonts w:ascii="IBM Plex Serif" w:eastAsia="Times New Roman" w:hAnsi="IBM Plex Serif" w:cs="Times New Roman"/>
          <w:color w:val="293A55"/>
          <w:sz w:val="24"/>
          <w:szCs w:val="24"/>
          <w:lang w:eastAsia="uk-UA"/>
        </w:rPr>
        <w:t> - різниця між референтною ставкою та фактичною ставкою, помножена на непогашений кредит на другий рік;</w:t>
      </w:r>
    </w:p>
    <w:p w14:paraId="687A55CF" w14:textId="77777777" w:rsidR="00E7663A" w:rsidRPr="00E7663A" w:rsidRDefault="00E7663A" w:rsidP="00E7663A">
      <w:pPr>
        <w:shd w:val="clear" w:color="auto" w:fill="FFFFFF"/>
        <w:spacing w:before="0" w:after="0"/>
        <w:ind w:firstLine="0"/>
        <w:rPr>
          <w:rFonts w:ascii="IBM Plex Serif" w:eastAsia="Times New Roman" w:hAnsi="IBM Plex Serif" w:cs="Times New Roman"/>
          <w:color w:val="293A55"/>
          <w:sz w:val="24"/>
          <w:szCs w:val="24"/>
          <w:lang w:eastAsia="uk-UA"/>
        </w:rPr>
      </w:pPr>
      <w:r w:rsidRPr="00E7663A">
        <w:rPr>
          <w:rFonts w:ascii="IBM Plex Serif" w:eastAsia="Times New Roman" w:hAnsi="IBM Plex Serif" w:cs="Times New Roman"/>
          <w:color w:val="293A55"/>
          <w:sz w:val="24"/>
          <w:szCs w:val="24"/>
          <w:lang w:eastAsia="uk-UA"/>
        </w:rPr>
        <w:t>Q</w:t>
      </w:r>
      <w:r w:rsidRPr="00E7663A">
        <w:rPr>
          <w:rFonts w:ascii="IBM Plex Serif" w:eastAsia="Times New Roman" w:hAnsi="IBM Plex Serif" w:cs="Times New Roman"/>
          <w:color w:val="293A55"/>
          <w:sz w:val="18"/>
          <w:szCs w:val="18"/>
          <w:vertAlign w:val="subscript"/>
          <w:lang w:eastAsia="uk-UA"/>
        </w:rPr>
        <w:t>3</w:t>
      </w:r>
      <w:r w:rsidRPr="00E7663A">
        <w:rPr>
          <w:rFonts w:ascii="IBM Plex Serif" w:eastAsia="Times New Roman" w:hAnsi="IBM Plex Serif" w:cs="Times New Roman"/>
          <w:color w:val="293A55"/>
          <w:sz w:val="24"/>
          <w:szCs w:val="24"/>
          <w:lang w:eastAsia="uk-UA"/>
        </w:rPr>
        <w:t> - різниця між референтною ставкою та фактичною ставкою, помножена на непогашений кредит на третій рік;</w:t>
      </w:r>
    </w:p>
    <w:p w14:paraId="383ACE0D" w14:textId="77777777" w:rsidR="00E7663A" w:rsidRPr="00E7663A" w:rsidRDefault="00E7663A" w:rsidP="00E7663A">
      <w:pPr>
        <w:shd w:val="clear" w:color="auto" w:fill="FFFFFF"/>
        <w:spacing w:before="0" w:after="0"/>
        <w:ind w:firstLine="0"/>
        <w:rPr>
          <w:rFonts w:ascii="IBM Plex Serif" w:eastAsia="Times New Roman" w:hAnsi="IBM Plex Serif" w:cs="Times New Roman"/>
          <w:color w:val="293A55"/>
          <w:sz w:val="24"/>
          <w:szCs w:val="24"/>
          <w:lang w:eastAsia="uk-UA"/>
        </w:rPr>
      </w:pPr>
      <w:proofErr w:type="spellStart"/>
      <w:r w:rsidRPr="00E7663A">
        <w:rPr>
          <w:rFonts w:ascii="IBM Plex Serif" w:eastAsia="Times New Roman" w:hAnsi="IBM Plex Serif" w:cs="Times New Roman"/>
          <w:color w:val="293A55"/>
          <w:sz w:val="24"/>
          <w:szCs w:val="24"/>
          <w:lang w:eastAsia="uk-UA"/>
        </w:rPr>
        <w:t>Q</w:t>
      </w:r>
      <w:r w:rsidRPr="00E7663A">
        <w:rPr>
          <w:rFonts w:ascii="IBM Plex Serif" w:eastAsia="Times New Roman" w:hAnsi="IBM Plex Serif" w:cs="Times New Roman"/>
          <w:color w:val="293A55"/>
          <w:sz w:val="18"/>
          <w:szCs w:val="18"/>
          <w:vertAlign w:val="subscript"/>
          <w:lang w:eastAsia="uk-UA"/>
        </w:rPr>
        <w:t>n</w:t>
      </w:r>
      <w:proofErr w:type="spellEnd"/>
      <w:r w:rsidRPr="00E7663A">
        <w:rPr>
          <w:rFonts w:ascii="IBM Plex Serif" w:eastAsia="Times New Roman" w:hAnsi="IBM Plex Serif" w:cs="Times New Roman"/>
          <w:color w:val="293A55"/>
          <w:sz w:val="24"/>
          <w:szCs w:val="24"/>
          <w:lang w:eastAsia="uk-UA"/>
        </w:rPr>
        <w:t> - різниця між референтною ставкою та фактичною ставкою, помножена на непогашений кредит у n році;</w:t>
      </w:r>
    </w:p>
    <w:p w14:paraId="42FF991F" w14:textId="77777777" w:rsidR="00E7663A" w:rsidRPr="00E7663A" w:rsidRDefault="00E7663A" w:rsidP="00E7663A">
      <w:pPr>
        <w:shd w:val="clear" w:color="auto" w:fill="FFFFFF"/>
        <w:spacing w:before="0" w:after="0"/>
        <w:ind w:firstLine="0"/>
        <w:rPr>
          <w:rFonts w:ascii="IBM Plex Serif" w:eastAsia="Times New Roman" w:hAnsi="IBM Plex Serif" w:cs="Times New Roman"/>
          <w:color w:val="293A55"/>
          <w:sz w:val="24"/>
          <w:szCs w:val="24"/>
          <w:lang w:eastAsia="uk-UA"/>
        </w:rPr>
      </w:pPr>
      <w:r w:rsidRPr="00E7663A">
        <w:rPr>
          <w:rFonts w:ascii="IBM Plex Serif" w:eastAsia="Times New Roman" w:hAnsi="IBM Plex Serif" w:cs="Times New Roman"/>
          <w:color w:val="293A55"/>
          <w:sz w:val="24"/>
          <w:szCs w:val="24"/>
          <w:lang w:eastAsia="uk-UA"/>
        </w:rPr>
        <w:t>i - ставка дисконтування.</w:t>
      </w:r>
    </w:p>
    <w:p w14:paraId="62A21047" w14:textId="77777777" w:rsidR="00E7663A" w:rsidRPr="00E7663A" w:rsidRDefault="00E7663A" w:rsidP="00E7663A">
      <w:pPr>
        <w:shd w:val="clear" w:color="auto" w:fill="FFFFFF"/>
        <w:spacing w:before="0" w:after="0"/>
        <w:ind w:firstLine="0"/>
        <w:rPr>
          <w:rFonts w:ascii="IBM Plex Serif" w:eastAsia="Times New Roman" w:hAnsi="IBM Plex Serif" w:cs="Times New Roman"/>
          <w:color w:val="293A55"/>
          <w:sz w:val="24"/>
          <w:szCs w:val="24"/>
          <w:lang w:eastAsia="uk-UA"/>
        </w:rPr>
      </w:pPr>
      <w:r w:rsidRPr="00E7663A">
        <w:rPr>
          <w:rFonts w:ascii="IBM Plex Serif" w:eastAsia="Times New Roman" w:hAnsi="IBM Plex Serif" w:cs="Times New Roman"/>
          <w:color w:val="293A55"/>
          <w:sz w:val="24"/>
          <w:szCs w:val="24"/>
          <w:lang w:eastAsia="uk-UA"/>
        </w:rPr>
        <w:t>Для визначення ставки дисконтування застосовується базова ставка, яка збільшена на фіксовану маржу в 100 базисних пунктах (1 %).</w:t>
      </w:r>
    </w:p>
    <w:p w14:paraId="7E5761B6" w14:textId="77777777" w:rsidR="00E7663A" w:rsidRPr="00E7663A" w:rsidRDefault="00E7663A" w:rsidP="00E7663A">
      <w:pPr>
        <w:shd w:val="clear" w:color="auto" w:fill="FFFFFF"/>
        <w:spacing w:before="0" w:after="0"/>
        <w:ind w:firstLine="0"/>
        <w:jc w:val="center"/>
        <w:rPr>
          <w:rFonts w:ascii="IBM Plex Serif" w:eastAsia="Times New Roman" w:hAnsi="IBM Plex Serif" w:cs="Times New Roman"/>
          <w:color w:val="293A55"/>
          <w:sz w:val="24"/>
          <w:szCs w:val="24"/>
          <w:lang w:eastAsia="uk-UA"/>
        </w:rPr>
      </w:pPr>
      <w:r w:rsidRPr="00E7663A">
        <w:rPr>
          <w:rFonts w:ascii="IBM Plex Serif" w:eastAsia="Times New Roman" w:hAnsi="IBM Plex Serif" w:cs="Times New Roman"/>
          <w:b/>
          <w:bCs/>
          <w:color w:val="293A55"/>
          <w:sz w:val="24"/>
          <w:szCs w:val="24"/>
          <w:lang w:eastAsia="uk-UA"/>
        </w:rPr>
        <w:t>Ставка дисконтування</w:t>
      </w:r>
      <w:r w:rsidRPr="00E7663A">
        <w:rPr>
          <w:rFonts w:ascii="IBM Plex Serif" w:eastAsia="Times New Roman" w:hAnsi="IBM Plex Serif" w:cs="Times New Roman"/>
          <w:color w:val="293A55"/>
          <w:sz w:val="24"/>
          <w:szCs w:val="24"/>
          <w:lang w:eastAsia="uk-UA"/>
        </w:rPr>
        <w:t> = </w:t>
      </w:r>
      <w:r w:rsidRPr="00E7663A">
        <w:rPr>
          <w:rFonts w:ascii="IBM Plex Serif" w:eastAsia="Times New Roman" w:hAnsi="IBM Plex Serif" w:cs="Times New Roman"/>
          <w:b/>
          <w:bCs/>
          <w:color w:val="293A55"/>
          <w:sz w:val="24"/>
          <w:szCs w:val="24"/>
          <w:lang w:eastAsia="uk-UA"/>
        </w:rPr>
        <w:t>базова ставка + 100 базисних пунктів (1 %)</w:t>
      </w:r>
    </w:p>
    <w:p w14:paraId="0A1DCEF1" w14:textId="77777777" w:rsidR="00E7663A" w:rsidRDefault="00E7663A" w:rsidP="00E7663A">
      <w:pPr>
        <w:shd w:val="clear" w:color="auto" w:fill="FFFFFF"/>
        <w:spacing w:before="0" w:after="0"/>
        <w:ind w:firstLine="0"/>
        <w:outlineLvl w:val="2"/>
        <w:rPr>
          <w:rFonts w:ascii="inherit" w:eastAsia="Times New Roman" w:hAnsi="inherit" w:cs="Times New Roman"/>
          <w:b/>
          <w:bCs/>
          <w:i/>
          <w:iCs/>
          <w:color w:val="293A55"/>
          <w:sz w:val="30"/>
          <w:szCs w:val="30"/>
          <w:lang w:eastAsia="uk-UA"/>
        </w:rPr>
      </w:pPr>
    </w:p>
    <w:p w14:paraId="794C6EDC" w14:textId="52B52373" w:rsidR="00E7663A" w:rsidRPr="00E7663A" w:rsidRDefault="00E7663A" w:rsidP="00E7663A">
      <w:pPr>
        <w:shd w:val="clear" w:color="auto" w:fill="FFFFFF"/>
        <w:spacing w:before="0" w:after="0"/>
        <w:ind w:firstLine="0"/>
        <w:outlineLvl w:val="2"/>
        <w:rPr>
          <w:rFonts w:ascii="inherit" w:eastAsia="Times New Roman" w:hAnsi="inherit" w:cs="Times New Roman"/>
          <w:b/>
          <w:bCs/>
          <w:color w:val="293A55"/>
          <w:sz w:val="30"/>
          <w:szCs w:val="30"/>
          <w:lang w:eastAsia="uk-UA"/>
        </w:rPr>
      </w:pPr>
      <w:r w:rsidRPr="00E7663A">
        <w:rPr>
          <w:rFonts w:ascii="inherit" w:eastAsia="Times New Roman" w:hAnsi="inherit" w:cs="Times New Roman"/>
          <w:b/>
          <w:bCs/>
          <w:i/>
          <w:iCs/>
          <w:color w:val="293A55"/>
          <w:sz w:val="30"/>
          <w:szCs w:val="30"/>
          <w:lang w:eastAsia="uk-UA"/>
        </w:rPr>
        <w:t>Спрощений метод розрахунку грошового еквіваленту державної допомоги для незначної державної допомоги</w:t>
      </w:r>
    </w:p>
    <w:p w14:paraId="0445F5EC" w14:textId="3DFF88D3" w:rsidR="00E7663A" w:rsidRPr="00E7663A" w:rsidRDefault="00E7663A" w:rsidP="00E7663A">
      <w:pPr>
        <w:shd w:val="clear" w:color="auto" w:fill="FFFFFF"/>
        <w:spacing w:before="0" w:after="0"/>
        <w:ind w:firstLine="0"/>
        <w:rPr>
          <w:rFonts w:ascii="IBM Plex Serif" w:eastAsia="Times New Roman" w:hAnsi="IBM Plex Serif" w:cs="Times New Roman"/>
          <w:color w:val="293A55"/>
          <w:sz w:val="24"/>
          <w:szCs w:val="24"/>
          <w:lang w:eastAsia="uk-UA"/>
        </w:rPr>
      </w:pPr>
      <w:r w:rsidRPr="00E7663A">
        <w:rPr>
          <w:rFonts w:ascii="IBM Plex Serif" w:eastAsia="Times New Roman" w:hAnsi="IBM Plex Serif" w:cs="Times New Roman"/>
          <w:color w:val="293A55"/>
          <w:sz w:val="24"/>
          <w:szCs w:val="24"/>
          <w:lang w:eastAsia="uk-UA"/>
        </w:rPr>
        <w:t>Відповідно до </w:t>
      </w:r>
      <w:r w:rsidRPr="00E7663A">
        <w:rPr>
          <w:rFonts w:ascii="IBM Plex Serif" w:eastAsia="Times New Roman" w:hAnsi="IBM Plex Serif" w:cs="Times New Roman"/>
          <w:color w:val="00ADFA"/>
          <w:sz w:val="24"/>
          <w:szCs w:val="24"/>
          <w:lang w:eastAsia="uk-UA"/>
        </w:rPr>
        <w:t>пункту 9 частини першої статті 1 Закону</w:t>
      </w:r>
      <w:r w:rsidRPr="00E7663A">
        <w:rPr>
          <w:rFonts w:ascii="IBM Plex Serif" w:eastAsia="Times New Roman" w:hAnsi="IBM Plex Serif" w:cs="Times New Roman"/>
          <w:color w:val="293A55"/>
          <w:sz w:val="24"/>
          <w:szCs w:val="24"/>
          <w:lang w:eastAsia="uk-UA"/>
        </w:rPr>
        <w:t> незначна державна допомога - державна допомога одному суб'єкту господарювання, сукупний розмір якої незалежно від її форми та джерел не перевищує за будь-який трирічний період суму, еквівалентну 200 тисячам євро, визначену за офіційним валютним курсом, встановленим Національним банком України, що діяв на останній день фінансового року.</w:t>
      </w:r>
    </w:p>
    <w:p w14:paraId="0AF805ED" w14:textId="3517E89B" w:rsidR="00E7663A" w:rsidRPr="00E7663A" w:rsidRDefault="00E7663A" w:rsidP="00E7663A">
      <w:pPr>
        <w:shd w:val="clear" w:color="auto" w:fill="FFFFFF"/>
        <w:spacing w:before="0" w:after="0"/>
        <w:ind w:firstLine="0"/>
        <w:rPr>
          <w:rFonts w:ascii="IBM Plex Serif" w:eastAsia="Times New Roman" w:hAnsi="IBM Plex Serif" w:cs="Times New Roman"/>
          <w:color w:val="293A55"/>
          <w:sz w:val="24"/>
          <w:szCs w:val="24"/>
          <w:lang w:eastAsia="uk-UA"/>
        </w:rPr>
      </w:pPr>
      <w:r w:rsidRPr="00E7663A">
        <w:rPr>
          <w:rFonts w:ascii="IBM Plex Serif" w:eastAsia="Times New Roman" w:hAnsi="IBM Plex Serif" w:cs="Times New Roman"/>
          <w:color w:val="293A55"/>
          <w:sz w:val="24"/>
          <w:szCs w:val="24"/>
          <w:lang w:eastAsia="uk-UA"/>
        </w:rPr>
        <w:t>В частині шостій статті 4 Регламенту Комісії (ЄС) N 1407/2013 від 18 грудня 2013 року про застосування </w:t>
      </w:r>
      <w:r w:rsidRPr="00E7663A">
        <w:rPr>
          <w:rFonts w:ascii="IBM Plex Serif" w:eastAsia="Times New Roman" w:hAnsi="IBM Plex Serif" w:cs="Times New Roman"/>
          <w:color w:val="00ADFA"/>
          <w:sz w:val="24"/>
          <w:szCs w:val="24"/>
          <w:lang w:eastAsia="uk-UA"/>
        </w:rPr>
        <w:t>статей 107</w:t>
      </w:r>
      <w:r w:rsidRPr="00E7663A">
        <w:rPr>
          <w:rFonts w:ascii="IBM Plex Serif" w:eastAsia="Times New Roman" w:hAnsi="IBM Plex Serif" w:cs="Times New Roman"/>
          <w:color w:val="293A55"/>
          <w:sz w:val="24"/>
          <w:szCs w:val="24"/>
          <w:lang w:eastAsia="uk-UA"/>
        </w:rPr>
        <w:t> і </w:t>
      </w:r>
      <w:r w:rsidRPr="00E7663A">
        <w:rPr>
          <w:rFonts w:ascii="IBM Plex Serif" w:eastAsia="Times New Roman" w:hAnsi="IBM Plex Serif" w:cs="Times New Roman"/>
          <w:color w:val="00ADFA"/>
          <w:sz w:val="24"/>
          <w:szCs w:val="24"/>
          <w:lang w:eastAsia="uk-UA"/>
        </w:rPr>
        <w:t>108 Договору про функціонування Європейського Союзу</w:t>
      </w:r>
      <w:r w:rsidRPr="00E7663A">
        <w:rPr>
          <w:rFonts w:ascii="IBM Plex Serif" w:eastAsia="Times New Roman" w:hAnsi="IBM Plex Serif" w:cs="Times New Roman"/>
          <w:color w:val="293A55"/>
          <w:sz w:val="24"/>
          <w:szCs w:val="24"/>
          <w:lang w:eastAsia="uk-UA"/>
        </w:rPr>
        <w:t xml:space="preserve"> до </w:t>
      </w:r>
      <w:r w:rsidRPr="00E7663A">
        <w:rPr>
          <w:rFonts w:ascii="IBM Plex Serif" w:eastAsia="Times New Roman" w:hAnsi="IBM Plex Serif" w:cs="Times New Roman"/>
          <w:color w:val="293A55"/>
          <w:sz w:val="24"/>
          <w:szCs w:val="24"/>
          <w:lang w:eastAsia="uk-UA"/>
        </w:rPr>
        <w:lastRenderedPageBreak/>
        <w:t xml:space="preserve">допомоги </w:t>
      </w:r>
      <w:proofErr w:type="spellStart"/>
      <w:r w:rsidRPr="00E7663A">
        <w:rPr>
          <w:rFonts w:ascii="IBM Plex Serif" w:eastAsia="Times New Roman" w:hAnsi="IBM Plex Serif" w:cs="Times New Roman"/>
          <w:color w:val="293A55"/>
          <w:sz w:val="24"/>
          <w:szCs w:val="24"/>
          <w:lang w:eastAsia="uk-UA"/>
        </w:rPr>
        <w:t>de</w:t>
      </w:r>
      <w:proofErr w:type="spellEnd"/>
      <w:r w:rsidRPr="00E7663A">
        <w:rPr>
          <w:rFonts w:ascii="IBM Plex Serif" w:eastAsia="Times New Roman" w:hAnsi="IBM Plex Serif" w:cs="Times New Roman"/>
          <w:color w:val="293A55"/>
          <w:sz w:val="24"/>
          <w:szCs w:val="24"/>
          <w:lang w:eastAsia="uk-UA"/>
        </w:rPr>
        <w:t xml:space="preserve"> </w:t>
      </w:r>
      <w:proofErr w:type="spellStart"/>
      <w:r w:rsidRPr="00E7663A">
        <w:rPr>
          <w:rFonts w:ascii="IBM Plex Serif" w:eastAsia="Times New Roman" w:hAnsi="IBM Plex Serif" w:cs="Times New Roman"/>
          <w:color w:val="293A55"/>
          <w:sz w:val="24"/>
          <w:szCs w:val="24"/>
          <w:lang w:eastAsia="uk-UA"/>
        </w:rPr>
        <w:t>minimis</w:t>
      </w:r>
      <w:proofErr w:type="spellEnd"/>
      <w:r w:rsidRPr="00E7663A">
        <w:rPr>
          <w:rFonts w:ascii="IBM Plex Serif" w:eastAsia="Times New Roman" w:hAnsi="IBM Plex Serif" w:cs="Times New Roman"/>
          <w:color w:val="293A55"/>
          <w:sz w:val="24"/>
          <w:szCs w:val="24"/>
          <w:lang w:eastAsia="uk-UA"/>
        </w:rPr>
        <w:t xml:space="preserve"> наведені умови, за яких допомога у формі гарантій вважається незначною державною допомогою.</w:t>
      </w:r>
    </w:p>
    <w:p w14:paraId="6808087F" w14:textId="69554B29" w:rsidR="00E7663A" w:rsidRPr="00E7663A" w:rsidRDefault="00E7663A" w:rsidP="00E7663A">
      <w:pPr>
        <w:shd w:val="clear" w:color="auto" w:fill="FFFFFF"/>
        <w:spacing w:before="0" w:after="0"/>
        <w:ind w:firstLine="0"/>
        <w:rPr>
          <w:rFonts w:ascii="IBM Plex Serif" w:eastAsia="Times New Roman" w:hAnsi="IBM Plex Serif" w:cs="Times New Roman"/>
          <w:color w:val="293A55"/>
          <w:sz w:val="24"/>
          <w:szCs w:val="24"/>
          <w:lang w:eastAsia="uk-UA"/>
        </w:rPr>
      </w:pPr>
      <w:r w:rsidRPr="00E7663A">
        <w:rPr>
          <w:rFonts w:ascii="IBM Plex Serif" w:eastAsia="Times New Roman" w:hAnsi="IBM Plex Serif" w:cs="Times New Roman"/>
          <w:color w:val="293A55"/>
          <w:sz w:val="24"/>
          <w:szCs w:val="24"/>
          <w:lang w:eastAsia="uk-UA"/>
        </w:rPr>
        <w:t>Грошовий еквівалент незначної державної допомоги, що надається у формі гарантії, повинен розраховуватися шляхом застосування спрощеного методу. Спрощений метод розрахунку грошового елементу може бути застосований у разі, якщо отримувача державної допомоги не визнано банкрутом відповідно до процедури, передбаченої </w:t>
      </w:r>
      <w:r w:rsidRPr="00E7663A">
        <w:rPr>
          <w:rFonts w:ascii="IBM Plex Serif" w:eastAsia="Times New Roman" w:hAnsi="IBM Plex Serif" w:cs="Times New Roman"/>
          <w:color w:val="00ADFA"/>
          <w:sz w:val="24"/>
          <w:szCs w:val="24"/>
          <w:lang w:eastAsia="uk-UA"/>
        </w:rPr>
        <w:t>Кодексом України з процедур банкрутства</w:t>
      </w:r>
      <w:r w:rsidRPr="00E7663A">
        <w:rPr>
          <w:rFonts w:ascii="IBM Plex Serif" w:eastAsia="Times New Roman" w:hAnsi="IBM Plex Serif" w:cs="Times New Roman"/>
          <w:color w:val="293A55"/>
          <w:sz w:val="24"/>
          <w:szCs w:val="24"/>
          <w:lang w:eastAsia="uk-UA"/>
        </w:rPr>
        <w:t>, та стосовно нього не порушено справу про банкрутство. У випадку великих підприємств отримувач державної допомоги повинен перебувати в ситуації, порівняній з кредитним рейтингом принаймні B-.</w:t>
      </w:r>
    </w:p>
    <w:p w14:paraId="173AE135" w14:textId="77777777" w:rsidR="00E7663A" w:rsidRPr="00E7663A" w:rsidRDefault="00E7663A" w:rsidP="00E7663A">
      <w:pPr>
        <w:shd w:val="clear" w:color="auto" w:fill="FFFFFF"/>
        <w:spacing w:before="0" w:after="0"/>
        <w:ind w:firstLine="0"/>
        <w:rPr>
          <w:rFonts w:ascii="IBM Plex Serif" w:eastAsia="Times New Roman" w:hAnsi="IBM Plex Serif" w:cs="Times New Roman"/>
          <w:color w:val="293A55"/>
          <w:sz w:val="24"/>
          <w:szCs w:val="24"/>
          <w:lang w:eastAsia="uk-UA"/>
        </w:rPr>
      </w:pPr>
      <w:r w:rsidRPr="00E7663A">
        <w:rPr>
          <w:rFonts w:ascii="IBM Plex Serif" w:eastAsia="Times New Roman" w:hAnsi="IBM Plex Serif" w:cs="Times New Roman"/>
          <w:color w:val="293A55"/>
          <w:sz w:val="24"/>
          <w:szCs w:val="24"/>
          <w:lang w:eastAsia="uk-UA"/>
        </w:rPr>
        <w:t>Грошовий еквівалент становить 200000 євро за умови, що гарантія не перевищує 80 % основного кредиту та:</w:t>
      </w:r>
    </w:p>
    <w:p w14:paraId="48DE6567" w14:textId="77777777" w:rsidR="00E7663A" w:rsidRPr="00E7663A" w:rsidRDefault="00E7663A" w:rsidP="00E7663A">
      <w:pPr>
        <w:shd w:val="clear" w:color="auto" w:fill="FFFFFF"/>
        <w:spacing w:before="0" w:after="0"/>
        <w:ind w:firstLine="0"/>
        <w:rPr>
          <w:rFonts w:ascii="IBM Plex Serif" w:eastAsia="Times New Roman" w:hAnsi="IBM Plex Serif" w:cs="Times New Roman"/>
          <w:color w:val="293A55"/>
          <w:sz w:val="24"/>
          <w:szCs w:val="24"/>
          <w:lang w:eastAsia="uk-UA"/>
        </w:rPr>
      </w:pPr>
      <w:r w:rsidRPr="00E7663A">
        <w:rPr>
          <w:rFonts w:ascii="IBM Plex Serif" w:eastAsia="Times New Roman" w:hAnsi="IBM Plex Serif" w:cs="Times New Roman"/>
          <w:b/>
          <w:bCs/>
          <w:color w:val="293A55"/>
          <w:sz w:val="24"/>
          <w:szCs w:val="24"/>
          <w:lang w:eastAsia="uk-UA"/>
        </w:rPr>
        <w:t>-</w:t>
      </w:r>
      <w:r w:rsidRPr="00E7663A">
        <w:rPr>
          <w:rFonts w:ascii="IBM Plex Serif" w:eastAsia="Times New Roman" w:hAnsi="IBM Plex Serif" w:cs="Times New Roman"/>
          <w:color w:val="293A55"/>
          <w:sz w:val="24"/>
          <w:szCs w:val="24"/>
          <w:lang w:eastAsia="uk-UA"/>
        </w:rPr>
        <w:t> гарантована сума становить 1500000 євро (або 750000 євро для суб'єктів господарювання, які займаються вантажними автомобільними перевезеннями), а тривалість гарантії становить 5 років;</w:t>
      </w:r>
    </w:p>
    <w:p w14:paraId="16E4EE45" w14:textId="77777777" w:rsidR="00E7663A" w:rsidRPr="00E7663A" w:rsidRDefault="00E7663A" w:rsidP="00E7663A">
      <w:pPr>
        <w:shd w:val="clear" w:color="auto" w:fill="FFFFFF"/>
        <w:spacing w:before="0" w:after="0"/>
        <w:ind w:firstLine="0"/>
        <w:rPr>
          <w:rFonts w:ascii="IBM Plex Serif" w:eastAsia="Times New Roman" w:hAnsi="IBM Plex Serif" w:cs="Times New Roman"/>
          <w:color w:val="293A55"/>
          <w:sz w:val="24"/>
          <w:szCs w:val="24"/>
          <w:lang w:eastAsia="uk-UA"/>
        </w:rPr>
      </w:pPr>
      <w:r w:rsidRPr="00E7663A">
        <w:rPr>
          <w:rFonts w:ascii="IBM Plex Serif" w:eastAsia="Times New Roman" w:hAnsi="IBM Plex Serif" w:cs="Times New Roman"/>
          <w:b/>
          <w:bCs/>
          <w:color w:val="293A55"/>
          <w:sz w:val="24"/>
          <w:szCs w:val="24"/>
          <w:lang w:eastAsia="uk-UA"/>
        </w:rPr>
        <w:t>-</w:t>
      </w:r>
      <w:r w:rsidRPr="00E7663A">
        <w:rPr>
          <w:rFonts w:ascii="IBM Plex Serif" w:eastAsia="Times New Roman" w:hAnsi="IBM Plex Serif" w:cs="Times New Roman"/>
          <w:color w:val="293A55"/>
          <w:sz w:val="24"/>
          <w:szCs w:val="24"/>
          <w:lang w:eastAsia="uk-UA"/>
        </w:rPr>
        <w:t> гарантована сума становить 750000 євро (або 375000 євро для суб'єктів господарювання, які займаються вантажними автомобільними перевезеннями), а тривалість гарантії становить 10 років.</w:t>
      </w:r>
    </w:p>
    <w:p w14:paraId="546E8F85" w14:textId="77777777" w:rsidR="00E0296C" w:rsidRDefault="00E0296C"/>
    <w:sectPr w:rsidR="00E0296C" w:rsidSect="00C30BA4">
      <w:pgSz w:w="11906" w:h="16838"/>
      <w:pgMar w:top="850" w:right="850" w:bottom="850" w:left="1417"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IBM Plex Serif">
    <w:altName w:val="Times New Roman"/>
    <w:charset w:val="CC"/>
    <w:family w:val="roman"/>
    <w:pitch w:val="variable"/>
    <w:sig w:usb0="00000001" w:usb1="5000203B" w:usb2="00000000" w:usb3="00000000" w:csb0="00000197"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63A"/>
    <w:rsid w:val="00002947"/>
    <w:rsid w:val="00061955"/>
    <w:rsid w:val="003C100E"/>
    <w:rsid w:val="005E60CF"/>
    <w:rsid w:val="006C279B"/>
    <w:rsid w:val="00A44971"/>
    <w:rsid w:val="00B16E30"/>
    <w:rsid w:val="00C30BA4"/>
    <w:rsid w:val="00CF4EA6"/>
    <w:rsid w:val="00E0296C"/>
    <w:rsid w:val="00E6470F"/>
    <w:rsid w:val="00E7663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15AAD"/>
  <w15:chartTrackingRefBased/>
  <w15:docId w15:val="{98CF30FA-A76F-4A9F-8BC2-4A977E1FD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before="120" w:after="120"/>
        <w:ind w:firstLine="85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Стандарт"/>
    <w:qFormat/>
    <w:rsid w:val="003C100E"/>
    <w:rPr>
      <w:rFonts w:ascii="Times New Roman" w:hAnsi="Times New Roman"/>
      <w:color w:val="000000" w:themeColor="text1"/>
      <w:sz w:val="28"/>
    </w:rPr>
  </w:style>
  <w:style w:type="paragraph" w:styleId="3">
    <w:name w:val="heading 3"/>
    <w:basedOn w:val="a"/>
    <w:link w:val="30"/>
    <w:uiPriority w:val="9"/>
    <w:qFormat/>
    <w:rsid w:val="00E7663A"/>
    <w:pPr>
      <w:spacing w:before="100" w:beforeAutospacing="1" w:after="100" w:afterAutospacing="1"/>
      <w:ind w:firstLine="0"/>
      <w:jc w:val="left"/>
      <w:outlineLvl w:val="2"/>
    </w:pPr>
    <w:rPr>
      <w:rFonts w:eastAsia="Times New Roman" w:cs="Times New Roman"/>
      <w:b/>
      <w:bCs/>
      <w:color w:val="auto"/>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a3">
    <w:name w:val="Говерла"/>
    <w:basedOn w:val="a1"/>
    <w:uiPriority w:val="99"/>
    <w:rsid w:val="00002947"/>
    <w:pPr>
      <w:spacing w:before="0" w:after="0"/>
      <w:ind w:firstLine="0"/>
    </w:pPr>
    <w:rPr>
      <w:rFonts w:ascii="Arial" w:hAnsi="Arial"/>
      <w:color w:val="6C6463"/>
      <w:sz w:val="18"/>
      <w:lang w:val="ru-RU"/>
    </w:rPr>
    <w:tblPr>
      <w:tblBorders>
        <w:insideH w:val="single" w:sz="4" w:space="0" w:color="3B3838" w:themeColor="background2" w:themeShade="40"/>
      </w:tblBorders>
    </w:tblPr>
    <w:tcPr>
      <w:vAlign w:val="center"/>
    </w:tcPr>
    <w:tblStylePr w:type="firstRow">
      <w:rPr>
        <w:rFonts w:ascii="Arial" w:hAnsi="Arial"/>
        <w:b/>
        <w:color w:val="FFFFFF" w:themeColor="background1"/>
        <w:sz w:val="20"/>
        <w:u w:val="none"/>
      </w:rPr>
      <w:tblPr/>
      <w:tcPr>
        <w:tcBorders>
          <w:insideH w:val="nil"/>
        </w:tcBorders>
        <w:shd w:val="clear" w:color="auto" w:fill="6C6463"/>
      </w:tcPr>
    </w:tblStylePr>
    <w:tblStylePr w:type="lastRow">
      <w:rPr>
        <w:color w:val="FFFFFF" w:themeColor="background1"/>
      </w:rPr>
      <w:tblPr/>
      <w:tcPr>
        <w:shd w:val="clear" w:color="auto" w:fill="6C6463"/>
      </w:tcPr>
    </w:tblStylePr>
  </w:style>
  <w:style w:type="character" w:customStyle="1" w:styleId="30">
    <w:name w:val="Заголовок 3 Знак"/>
    <w:basedOn w:val="a0"/>
    <w:link w:val="3"/>
    <w:uiPriority w:val="9"/>
    <w:rsid w:val="00E7663A"/>
    <w:rPr>
      <w:rFonts w:ascii="Times New Roman" w:eastAsia="Times New Roman" w:hAnsi="Times New Roman" w:cs="Times New Roman"/>
      <w:b/>
      <w:bCs/>
      <w:sz w:val="27"/>
      <w:szCs w:val="27"/>
      <w:lang w:eastAsia="uk-UA"/>
    </w:rPr>
  </w:style>
  <w:style w:type="paragraph" w:customStyle="1" w:styleId="tj">
    <w:name w:val="tj"/>
    <w:basedOn w:val="a"/>
    <w:rsid w:val="00E7663A"/>
    <w:pPr>
      <w:spacing w:before="100" w:beforeAutospacing="1" w:after="100" w:afterAutospacing="1"/>
      <w:ind w:firstLine="0"/>
      <w:jc w:val="left"/>
    </w:pPr>
    <w:rPr>
      <w:rFonts w:eastAsia="Times New Roman" w:cs="Times New Roman"/>
      <w:color w:val="auto"/>
      <w:sz w:val="24"/>
      <w:szCs w:val="24"/>
      <w:lang w:eastAsia="uk-UA"/>
    </w:rPr>
  </w:style>
  <w:style w:type="paragraph" w:customStyle="1" w:styleId="tc">
    <w:name w:val="tc"/>
    <w:basedOn w:val="a"/>
    <w:rsid w:val="00E7663A"/>
    <w:pPr>
      <w:spacing w:before="100" w:beforeAutospacing="1" w:after="100" w:afterAutospacing="1"/>
      <w:ind w:firstLine="0"/>
      <w:jc w:val="left"/>
    </w:pPr>
    <w:rPr>
      <w:rFonts w:eastAsia="Times New Roman" w:cs="Times New Roman"/>
      <w:color w:val="auto"/>
      <w:sz w:val="24"/>
      <w:szCs w:val="24"/>
      <w:lang w:eastAsia="uk-UA"/>
    </w:rPr>
  </w:style>
  <w:style w:type="character" w:customStyle="1" w:styleId="fs2">
    <w:name w:val="fs2"/>
    <w:basedOn w:val="a0"/>
    <w:rsid w:val="00E7663A"/>
  </w:style>
  <w:style w:type="paragraph" w:customStyle="1" w:styleId="tl">
    <w:name w:val="tl"/>
    <w:basedOn w:val="a"/>
    <w:rsid w:val="00E7663A"/>
    <w:pPr>
      <w:spacing w:before="100" w:beforeAutospacing="1" w:after="100" w:afterAutospacing="1"/>
      <w:ind w:firstLine="0"/>
      <w:jc w:val="left"/>
    </w:pPr>
    <w:rPr>
      <w:rFonts w:eastAsia="Times New Roman" w:cs="Times New Roman"/>
      <w:color w:val="auto"/>
      <w:sz w:val="24"/>
      <w:szCs w:val="24"/>
      <w:lang w:eastAsia="uk-UA"/>
    </w:rPr>
  </w:style>
  <w:style w:type="paragraph" w:customStyle="1" w:styleId="tr">
    <w:name w:val="tr"/>
    <w:basedOn w:val="a"/>
    <w:rsid w:val="00E7663A"/>
    <w:pPr>
      <w:spacing w:before="100" w:beforeAutospacing="1" w:after="100" w:afterAutospacing="1"/>
      <w:ind w:firstLine="0"/>
      <w:jc w:val="left"/>
    </w:pPr>
    <w:rPr>
      <w:rFonts w:eastAsia="Times New Roman" w:cs="Times New Roman"/>
      <w:color w:val="auto"/>
      <w:sz w:val="24"/>
      <w:szCs w:val="24"/>
      <w:lang w:eastAsia="uk-UA"/>
    </w:rPr>
  </w:style>
  <w:style w:type="character" w:customStyle="1" w:styleId="hard-blue-color">
    <w:name w:val="hard-blue-color"/>
    <w:basedOn w:val="a0"/>
    <w:rsid w:val="00E76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1360388">
      <w:bodyDiv w:val="1"/>
      <w:marLeft w:val="0"/>
      <w:marRight w:val="0"/>
      <w:marTop w:val="0"/>
      <w:marBottom w:val="0"/>
      <w:divBdr>
        <w:top w:val="none" w:sz="0" w:space="0" w:color="auto"/>
        <w:left w:val="none" w:sz="0" w:space="0" w:color="auto"/>
        <w:bottom w:val="none" w:sz="0" w:space="0" w:color="auto"/>
        <w:right w:val="none" w:sz="0" w:space="0" w:color="auto"/>
      </w:divBdr>
      <w:divsChild>
        <w:div w:id="1157301466">
          <w:marLeft w:val="0"/>
          <w:marRight w:val="0"/>
          <w:marTop w:val="0"/>
          <w:marBottom w:val="0"/>
          <w:divBdr>
            <w:top w:val="none" w:sz="0" w:space="0" w:color="auto"/>
            <w:left w:val="none" w:sz="0" w:space="0" w:color="auto"/>
            <w:bottom w:val="none" w:sz="0" w:space="0" w:color="auto"/>
            <w:right w:val="none" w:sz="0" w:space="0" w:color="auto"/>
          </w:divBdr>
        </w:div>
        <w:div w:id="813107642">
          <w:marLeft w:val="0"/>
          <w:marRight w:val="0"/>
          <w:marTop w:val="0"/>
          <w:marBottom w:val="0"/>
          <w:divBdr>
            <w:top w:val="none" w:sz="0" w:space="0" w:color="auto"/>
            <w:left w:val="none" w:sz="0" w:space="0" w:color="auto"/>
            <w:bottom w:val="none" w:sz="0" w:space="0" w:color="auto"/>
            <w:right w:val="none" w:sz="0" w:space="0" w:color="auto"/>
          </w:divBdr>
        </w:div>
        <w:div w:id="755590610">
          <w:marLeft w:val="0"/>
          <w:marRight w:val="0"/>
          <w:marTop w:val="0"/>
          <w:marBottom w:val="0"/>
          <w:divBdr>
            <w:top w:val="none" w:sz="0" w:space="0" w:color="auto"/>
            <w:left w:val="none" w:sz="0" w:space="0" w:color="auto"/>
            <w:bottom w:val="none" w:sz="0" w:space="0" w:color="auto"/>
            <w:right w:val="none" w:sz="0" w:space="0" w:color="auto"/>
          </w:divBdr>
        </w:div>
        <w:div w:id="1417630966">
          <w:marLeft w:val="0"/>
          <w:marRight w:val="0"/>
          <w:marTop w:val="0"/>
          <w:marBottom w:val="0"/>
          <w:divBdr>
            <w:top w:val="none" w:sz="0" w:space="0" w:color="auto"/>
            <w:left w:val="none" w:sz="0" w:space="0" w:color="auto"/>
            <w:bottom w:val="none" w:sz="0" w:space="0" w:color="auto"/>
            <w:right w:val="none" w:sz="0" w:space="0" w:color="auto"/>
          </w:divBdr>
        </w:div>
        <w:div w:id="76249097">
          <w:marLeft w:val="0"/>
          <w:marRight w:val="0"/>
          <w:marTop w:val="0"/>
          <w:marBottom w:val="0"/>
          <w:divBdr>
            <w:top w:val="none" w:sz="0" w:space="0" w:color="auto"/>
            <w:left w:val="none" w:sz="0" w:space="0" w:color="auto"/>
            <w:bottom w:val="none" w:sz="0" w:space="0" w:color="auto"/>
            <w:right w:val="none" w:sz="0" w:space="0" w:color="auto"/>
          </w:divBdr>
        </w:div>
        <w:div w:id="686637867">
          <w:marLeft w:val="0"/>
          <w:marRight w:val="0"/>
          <w:marTop w:val="0"/>
          <w:marBottom w:val="0"/>
          <w:divBdr>
            <w:top w:val="none" w:sz="0" w:space="0" w:color="auto"/>
            <w:left w:val="none" w:sz="0" w:space="0" w:color="auto"/>
            <w:bottom w:val="none" w:sz="0" w:space="0" w:color="auto"/>
            <w:right w:val="none" w:sz="0" w:space="0" w:color="auto"/>
          </w:divBdr>
        </w:div>
        <w:div w:id="1520005762">
          <w:marLeft w:val="0"/>
          <w:marRight w:val="0"/>
          <w:marTop w:val="0"/>
          <w:marBottom w:val="0"/>
          <w:divBdr>
            <w:top w:val="none" w:sz="0" w:space="0" w:color="auto"/>
            <w:left w:val="none" w:sz="0" w:space="0" w:color="auto"/>
            <w:bottom w:val="none" w:sz="0" w:space="0" w:color="auto"/>
            <w:right w:val="none" w:sz="0" w:space="0" w:color="auto"/>
          </w:divBdr>
        </w:div>
        <w:div w:id="140538827">
          <w:marLeft w:val="0"/>
          <w:marRight w:val="0"/>
          <w:marTop w:val="0"/>
          <w:marBottom w:val="0"/>
          <w:divBdr>
            <w:top w:val="none" w:sz="0" w:space="0" w:color="auto"/>
            <w:left w:val="none" w:sz="0" w:space="0" w:color="auto"/>
            <w:bottom w:val="none" w:sz="0" w:space="0" w:color="auto"/>
            <w:right w:val="none" w:sz="0" w:space="0" w:color="auto"/>
          </w:divBdr>
        </w:div>
        <w:div w:id="1546944321">
          <w:marLeft w:val="0"/>
          <w:marRight w:val="0"/>
          <w:marTop w:val="0"/>
          <w:marBottom w:val="0"/>
          <w:divBdr>
            <w:top w:val="none" w:sz="0" w:space="0" w:color="auto"/>
            <w:left w:val="none" w:sz="0" w:space="0" w:color="auto"/>
            <w:bottom w:val="none" w:sz="0" w:space="0" w:color="auto"/>
            <w:right w:val="none" w:sz="0" w:space="0" w:color="auto"/>
          </w:divBdr>
        </w:div>
        <w:div w:id="533931373">
          <w:marLeft w:val="0"/>
          <w:marRight w:val="0"/>
          <w:marTop w:val="0"/>
          <w:marBottom w:val="0"/>
          <w:divBdr>
            <w:top w:val="none" w:sz="0" w:space="0" w:color="auto"/>
            <w:left w:val="none" w:sz="0" w:space="0" w:color="auto"/>
            <w:bottom w:val="none" w:sz="0" w:space="0" w:color="auto"/>
            <w:right w:val="none" w:sz="0" w:space="0" w:color="auto"/>
          </w:divBdr>
          <w:divsChild>
            <w:div w:id="1719864128">
              <w:marLeft w:val="0"/>
              <w:marRight w:val="0"/>
              <w:marTop w:val="0"/>
              <w:marBottom w:val="150"/>
              <w:divBdr>
                <w:top w:val="none" w:sz="0" w:space="0" w:color="auto"/>
                <w:left w:val="none" w:sz="0" w:space="0" w:color="auto"/>
                <w:bottom w:val="none" w:sz="0" w:space="0" w:color="auto"/>
                <w:right w:val="none" w:sz="0" w:space="0" w:color="auto"/>
              </w:divBdr>
            </w:div>
          </w:divsChild>
        </w:div>
        <w:div w:id="1402559116">
          <w:marLeft w:val="0"/>
          <w:marRight w:val="0"/>
          <w:marTop w:val="0"/>
          <w:marBottom w:val="0"/>
          <w:divBdr>
            <w:top w:val="none" w:sz="0" w:space="0" w:color="auto"/>
            <w:left w:val="none" w:sz="0" w:space="0" w:color="auto"/>
            <w:bottom w:val="none" w:sz="0" w:space="0" w:color="auto"/>
            <w:right w:val="none" w:sz="0" w:space="0" w:color="auto"/>
          </w:divBdr>
        </w:div>
        <w:div w:id="1584334703">
          <w:marLeft w:val="0"/>
          <w:marRight w:val="0"/>
          <w:marTop w:val="0"/>
          <w:marBottom w:val="0"/>
          <w:divBdr>
            <w:top w:val="none" w:sz="0" w:space="0" w:color="auto"/>
            <w:left w:val="none" w:sz="0" w:space="0" w:color="auto"/>
            <w:bottom w:val="none" w:sz="0" w:space="0" w:color="auto"/>
            <w:right w:val="none" w:sz="0" w:space="0" w:color="auto"/>
          </w:divBdr>
        </w:div>
        <w:div w:id="668220550">
          <w:marLeft w:val="0"/>
          <w:marRight w:val="0"/>
          <w:marTop w:val="0"/>
          <w:marBottom w:val="0"/>
          <w:divBdr>
            <w:top w:val="none" w:sz="0" w:space="0" w:color="auto"/>
            <w:left w:val="none" w:sz="0" w:space="0" w:color="auto"/>
            <w:bottom w:val="none" w:sz="0" w:space="0" w:color="auto"/>
            <w:right w:val="none" w:sz="0" w:space="0" w:color="auto"/>
          </w:divBdr>
        </w:div>
        <w:div w:id="173348573">
          <w:marLeft w:val="0"/>
          <w:marRight w:val="0"/>
          <w:marTop w:val="0"/>
          <w:marBottom w:val="0"/>
          <w:divBdr>
            <w:top w:val="none" w:sz="0" w:space="0" w:color="auto"/>
            <w:left w:val="none" w:sz="0" w:space="0" w:color="auto"/>
            <w:bottom w:val="none" w:sz="0" w:space="0" w:color="auto"/>
            <w:right w:val="none" w:sz="0" w:space="0" w:color="auto"/>
          </w:divBdr>
        </w:div>
        <w:div w:id="1102841079">
          <w:marLeft w:val="0"/>
          <w:marRight w:val="0"/>
          <w:marTop w:val="0"/>
          <w:marBottom w:val="0"/>
          <w:divBdr>
            <w:top w:val="none" w:sz="0" w:space="0" w:color="auto"/>
            <w:left w:val="none" w:sz="0" w:space="0" w:color="auto"/>
            <w:bottom w:val="none" w:sz="0" w:space="0" w:color="auto"/>
            <w:right w:val="none" w:sz="0" w:space="0" w:color="auto"/>
          </w:divBdr>
          <w:divsChild>
            <w:div w:id="1809546404">
              <w:marLeft w:val="0"/>
              <w:marRight w:val="0"/>
              <w:marTop w:val="0"/>
              <w:marBottom w:val="150"/>
              <w:divBdr>
                <w:top w:val="none" w:sz="0" w:space="0" w:color="auto"/>
                <w:left w:val="none" w:sz="0" w:space="0" w:color="auto"/>
                <w:bottom w:val="none" w:sz="0" w:space="0" w:color="auto"/>
                <w:right w:val="none" w:sz="0" w:space="0" w:color="auto"/>
              </w:divBdr>
            </w:div>
          </w:divsChild>
        </w:div>
        <w:div w:id="2018648809">
          <w:marLeft w:val="0"/>
          <w:marRight w:val="0"/>
          <w:marTop w:val="0"/>
          <w:marBottom w:val="0"/>
          <w:divBdr>
            <w:top w:val="none" w:sz="0" w:space="0" w:color="auto"/>
            <w:left w:val="none" w:sz="0" w:space="0" w:color="auto"/>
            <w:bottom w:val="none" w:sz="0" w:space="0" w:color="auto"/>
            <w:right w:val="none" w:sz="0" w:space="0" w:color="auto"/>
          </w:divBdr>
        </w:div>
        <w:div w:id="1391349327">
          <w:marLeft w:val="0"/>
          <w:marRight w:val="0"/>
          <w:marTop w:val="0"/>
          <w:marBottom w:val="0"/>
          <w:divBdr>
            <w:top w:val="none" w:sz="0" w:space="0" w:color="auto"/>
            <w:left w:val="none" w:sz="0" w:space="0" w:color="auto"/>
            <w:bottom w:val="none" w:sz="0" w:space="0" w:color="auto"/>
            <w:right w:val="none" w:sz="0" w:space="0" w:color="auto"/>
          </w:divBdr>
        </w:div>
        <w:div w:id="1100951253">
          <w:marLeft w:val="0"/>
          <w:marRight w:val="0"/>
          <w:marTop w:val="0"/>
          <w:marBottom w:val="0"/>
          <w:divBdr>
            <w:top w:val="none" w:sz="0" w:space="0" w:color="auto"/>
            <w:left w:val="none" w:sz="0" w:space="0" w:color="auto"/>
            <w:bottom w:val="none" w:sz="0" w:space="0" w:color="auto"/>
            <w:right w:val="none" w:sz="0" w:space="0" w:color="auto"/>
          </w:divBdr>
        </w:div>
        <w:div w:id="610941106">
          <w:marLeft w:val="0"/>
          <w:marRight w:val="0"/>
          <w:marTop w:val="0"/>
          <w:marBottom w:val="0"/>
          <w:divBdr>
            <w:top w:val="none" w:sz="0" w:space="0" w:color="auto"/>
            <w:left w:val="none" w:sz="0" w:space="0" w:color="auto"/>
            <w:bottom w:val="none" w:sz="0" w:space="0" w:color="auto"/>
            <w:right w:val="none" w:sz="0" w:space="0" w:color="auto"/>
          </w:divBdr>
        </w:div>
        <w:div w:id="706609967">
          <w:marLeft w:val="0"/>
          <w:marRight w:val="0"/>
          <w:marTop w:val="0"/>
          <w:marBottom w:val="0"/>
          <w:divBdr>
            <w:top w:val="none" w:sz="0" w:space="0" w:color="auto"/>
            <w:left w:val="none" w:sz="0" w:space="0" w:color="auto"/>
            <w:bottom w:val="none" w:sz="0" w:space="0" w:color="auto"/>
            <w:right w:val="none" w:sz="0" w:space="0" w:color="auto"/>
          </w:divBdr>
        </w:div>
        <w:div w:id="557127326">
          <w:marLeft w:val="0"/>
          <w:marRight w:val="0"/>
          <w:marTop w:val="0"/>
          <w:marBottom w:val="0"/>
          <w:divBdr>
            <w:top w:val="none" w:sz="0" w:space="0" w:color="auto"/>
            <w:left w:val="none" w:sz="0" w:space="0" w:color="auto"/>
            <w:bottom w:val="none" w:sz="0" w:space="0" w:color="auto"/>
            <w:right w:val="none" w:sz="0" w:space="0" w:color="auto"/>
          </w:divBdr>
        </w:div>
        <w:div w:id="668679791">
          <w:marLeft w:val="0"/>
          <w:marRight w:val="0"/>
          <w:marTop w:val="0"/>
          <w:marBottom w:val="0"/>
          <w:divBdr>
            <w:top w:val="none" w:sz="0" w:space="0" w:color="auto"/>
            <w:left w:val="none" w:sz="0" w:space="0" w:color="auto"/>
            <w:bottom w:val="none" w:sz="0" w:space="0" w:color="auto"/>
            <w:right w:val="none" w:sz="0" w:space="0" w:color="auto"/>
          </w:divBdr>
        </w:div>
        <w:div w:id="69082347">
          <w:marLeft w:val="0"/>
          <w:marRight w:val="0"/>
          <w:marTop w:val="0"/>
          <w:marBottom w:val="0"/>
          <w:divBdr>
            <w:top w:val="none" w:sz="0" w:space="0" w:color="auto"/>
            <w:left w:val="none" w:sz="0" w:space="0" w:color="auto"/>
            <w:bottom w:val="none" w:sz="0" w:space="0" w:color="auto"/>
            <w:right w:val="none" w:sz="0" w:space="0" w:color="auto"/>
          </w:divBdr>
          <w:divsChild>
            <w:div w:id="270206743">
              <w:marLeft w:val="0"/>
              <w:marRight w:val="0"/>
              <w:marTop w:val="0"/>
              <w:marBottom w:val="150"/>
              <w:divBdr>
                <w:top w:val="none" w:sz="0" w:space="0" w:color="auto"/>
                <w:left w:val="none" w:sz="0" w:space="0" w:color="auto"/>
                <w:bottom w:val="none" w:sz="0" w:space="0" w:color="auto"/>
                <w:right w:val="none" w:sz="0" w:space="0" w:color="auto"/>
              </w:divBdr>
            </w:div>
          </w:divsChild>
        </w:div>
        <w:div w:id="1644190593">
          <w:marLeft w:val="0"/>
          <w:marRight w:val="0"/>
          <w:marTop w:val="0"/>
          <w:marBottom w:val="0"/>
          <w:divBdr>
            <w:top w:val="none" w:sz="0" w:space="0" w:color="auto"/>
            <w:left w:val="none" w:sz="0" w:space="0" w:color="auto"/>
            <w:bottom w:val="none" w:sz="0" w:space="0" w:color="auto"/>
            <w:right w:val="none" w:sz="0" w:space="0" w:color="auto"/>
          </w:divBdr>
        </w:div>
        <w:div w:id="287249037">
          <w:marLeft w:val="0"/>
          <w:marRight w:val="0"/>
          <w:marTop w:val="0"/>
          <w:marBottom w:val="0"/>
          <w:divBdr>
            <w:top w:val="none" w:sz="0" w:space="0" w:color="auto"/>
            <w:left w:val="none" w:sz="0" w:space="0" w:color="auto"/>
            <w:bottom w:val="none" w:sz="0" w:space="0" w:color="auto"/>
            <w:right w:val="none" w:sz="0" w:space="0" w:color="auto"/>
          </w:divBdr>
        </w:div>
        <w:div w:id="1226142627">
          <w:marLeft w:val="0"/>
          <w:marRight w:val="0"/>
          <w:marTop w:val="0"/>
          <w:marBottom w:val="0"/>
          <w:divBdr>
            <w:top w:val="none" w:sz="0" w:space="0" w:color="auto"/>
            <w:left w:val="none" w:sz="0" w:space="0" w:color="auto"/>
            <w:bottom w:val="none" w:sz="0" w:space="0" w:color="auto"/>
            <w:right w:val="none" w:sz="0" w:space="0" w:color="auto"/>
          </w:divBdr>
        </w:div>
        <w:div w:id="1525824566">
          <w:marLeft w:val="0"/>
          <w:marRight w:val="0"/>
          <w:marTop w:val="0"/>
          <w:marBottom w:val="0"/>
          <w:divBdr>
            <w:top w:val="none" w:sz="0" w:space="0" w:color="auto"/>
            <w:left w:val="none" w:sz="0" w:space="0" w:color="auto"/>
            <w:bottom w:val="none" w:sz="0" w:space="0" w:color="auto"/>
            <w:right w:val="none" w:sz="0" w:space="0" w:color="auto"/>
          </w:divBdr>
        </w:div>
        <w:div w:id="261762992">
          <w:marLeft w:val="0"/>
          <w:marRight w:val="0"/>
          <w:marTop w:val="0"/>
          <w:marBottom w:val="0"/>
          <w:divBdr>
            <w:top w:val="none" w:sz="0" w:space="0" w:color="auto"/>
            <w:left w:val="none" w:sz="0" w:space="0" w:color="auto"/>
            <w:bottom w:val="none" w:sz="0" w:space="0" w:color="auto"/>
            <w:right w:val="none" w:sz="0" w:space="0" w:color="auto"/>
          </w:divBdr>
        </w:div>
        <w:div w:id="2016690247">
          <w:marLeft w:val="0"/>
          <w:marRight w:val="0"/>
          <w:marTop w:val="0"/>
          <w:marBottom w:val="0"/>
          <w:divBdr>
            <w:top w:val="none" w:sz="0" w:space="0" w:color="auto"/>
            <w:left w:val="none" w:sz="0" w:space="0" w:color="auto"/>
            <w:bottom w:val="none" w:sz="0" w:space="0" w:color="auto"/>
            <w:right w:val="none" w:sz="0" w:space="0" w:color="auto"/>
          </w:divBdr>
        </w:div>
        <w:div w:id="2050299562">
          <w:marLeft w:val="0"/>
          <w:marRight w:val="0"/>
          <w:marTop w:val="0"/>
          <w:marBottom w:val="0"/>
          <w:divBdr>
            <w:top w:val="none" w:sz="0" w:space="0" w:color="auto"/>
            <w:left w:val="none" w:sz="0" w:space="0" w:color="auto"/>
            <w:bottom w:val="none" w:sz="0" w:space="0" w:color="auto"/>
            <w:right w:val="none" w:sz="0" w:space="0" w:color="auto"/>
          </w:divBdr>
        </w:div>
        <w:div w:id="208498134">
          <w:marLeft w:val="0"/>
          <w:marRight w:val="0"/>
          <w:marTop w:val="0"/>
          <w:marBottom w:val="0"/>
          <w:divBdr>
            <w:top w:val="none" w:sz="0" w:space="0" w:color="auto"/>
            <w:left w:val="none" w:sz="0" w:space="0" w:color="auto"/>
            <w:bottom w:val="none" w:sz="0" w:space="0" w:color="auto"/>
            <w:right w:val="none" w:sz="0" w:space="0" w:color="auto"/>
          </w:divBdr>
        </w:div>
        <w:div w:id="1104033771">
          <w:marLeft w:val="0"/>
          <w:marRight w:val="0"/>
          <w:marTop w:val="0"/>
          <w:marBottom w:val="0"/>
          <w:divBdr>
            <w:top w:val="none" w:sz="0" w:space="0" w:color="auto"/>
            <w:left w:val="none" w:sz="0" w:space="0" w:color="auto"/>
            <w:bottom w:val="none" w:sz="0" w:space="0" w:color="auto"/>
            <w:right w:val="none" w:sz="0" w:space="0" w:color="auto"/>
          </w:divBdr>
        </w:div>
        <w:div w:id="1053235688">
          <w:marLeft w:val="0"/>
          <w:marRight w:val="0"/>
          <w:marTop w:val="0"/>
          <w:marBottom w:val="0"/>
          <w:divBdr>
            <w:top w:val="none" w:sz="0" w:space="0" w:color="auto"/>
            <w:left w:val="none" w:sz="0" w:space="0" w:color="auto"/>
            <w:bottom w:val="none" w:sz="0" w:space="0" w:color="auto"/>
            <w:right w:val="none" w:sz="0" w:space="0" w:color="auto"/>
          </w:divBdr>
        </w:div>
        <w:div w:id="1957709843">
          <w:marLeft w:val="0"/>
          <w:marRight w:val="0"/>
          <w:marTop w:val="0"/>
          <w:marBottom w:val="0"/>
          <w:divBdr>
            <w:top w:val="none" w:sz="0" w:space="0" w:color="auto"/>
            <w:left w:val="none" w:sz="0" w:space="0" w:color="auto"/>
            <w:bottom w:val="none" w:sz="0" w:space="0" w:color="auto"/>
            <w:right w:val="none" w:sz="0" w:space="0" w:color="auto"/>
          </w:divBdr>
        </w:div>
        <w:div w:id="355549161">
          <w:marLeft w:val="0"/>
          <w:marRight w:val="0"/>
          <w:marTop w:val="0"/>
          <w:marBottom w:val="0"/>
          <w:divBdr>
            <w:top w:val="none" w:sz="0" w:space="0" w:color="auto"/>
            <w:left w:val="none" w:sz="0" w:space="0" w:color="auto"/>
            <w:bottom w:val="none" w:sz="0" w:space="0" w:color="auto"/>
            <w:right w:val="none" w:sz="0" w:space="0" w:color="auto"/>
          </w:divBdr>
        </w:div>
        <w:div w:id="1806968647">
          <w:marLeft w:val="0"/>
          <w:marRight w:val="0"/>
          <w:marTop w:val="0"/>
          <w:marBottom w:val="0"/>
          <w:divBdr>
            <w:top w:val="none" w:sz="0" w:space="0" w:color="auto"/>
            <w:left w:val="none" w:sz="0" w:space="0" w:color="auto"/>
            <w:bottom w:val="none" w:sz="0" w:space="0" w:color="auto"/>
            <w:right w:val="none" w:sz="0" w:space="0" w:color="auto"/>
          </w:divBdr>
        </w:div>
        <w:div w:id="1624072466">
          <w:marLeft w:val="0"/>
          <w:marRight w:val="0"/>
          <w:marTop w:val="0"/>
          <w:marBottom w:val="0"/>
          <w:divBdr>
            <w:top w:val="none" w:sz="0" w:space="0" w:color="auto"/>
            <w:left w:val="none" w:sz="0" w:space="0" w:color="auto"/>
            <w:bottom w:val="none" w:sz="0" w:space="0" w:color="auto"/>
            <w:right w:val="none" w:sz="0" w:space="0" w:color="auto"/>
          </w:divBdr>
        </w:div>
        <w:div w:id="333921110">
          <w:marLeft w:val="0"/>
          <w:marRight w:val="0"/>
          <w:marTop w:val="0"/>
          <w:marBottom w:val="0"/>
          <w:divBdr>
            <w:top w:val="none" w:sz="0" w:space="0" w:color="auto"/>
            <w:left w:val="none" w:sz="0" w:space="0" w:color="auto"/>
            <w:bottom w:val="none" w:sz="0" w:space="0" w:color="auto"/>
            <w:right w:val="none" w:sz="0" w:space="0" w:color="auto"/>
          </w:divBdr>
        </w:div>
        <w:div w:id="20644753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4848</Words>
  <Characters>2764</Characters>
  <Application>Microsoft Office Word</Application>
  <DocSecurity>0</DocSecurity>
  <Lines>23</Lines>
  <Paragraphs>15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Ігор Онищук</dc:creator>
  <cp:keywords/>
  <dc:description/>
  <cp:lastModifiedBy>Євген</cp:lastModifiedBy>
  <cp:revision>2</cp:revision>
  <dcterms:created xsi:type="dcterms:W3CDTF">2023-11-24T13:13:00Z</dcterms:created>
  <dcterms:modified xsi:type="dcterms:W3CDTF">2023-11-24T13:13:00Z</dcterms:modified>
</cp:coreProperties>
</file>