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4787" w14:textId="4AF73A20" w:rsidR="00A76ABE" w:rsidRDefault="00200F7E" w:rsidP="00A76ABE">
      <w:pPr>
        <w:pStyle w:val="Title"/>
        <w:spacing w:after="100"/>
        <w:jc w:val="center"/>
        <w:rPr>
          <w:rFonts w:ascii="Arial" w:hAnsi="Arial" w:cs="Arial"/>
          <w:b/>
          <w:bCs/>
          <w:sz w:val="24"/>
          <w:szCs w:val="24"/>
          <w:lang w:val="uk-UA"/>
        </w:rPr>
      </w:pPr>
      <w:r w:rsidRPr="00805829">
        <w:rPr>
          <w:rFonts w:ascii="Arial" w:hAnsi="Arial" w:cs="Arial"/>
          <w:b/>
          <w:bCs/>
          <w:sz w:val="24"/>
          <w:szCs w:val="24"/>
        </w:rPr>
        <w:t>BIBLIOGRAPHY</w:t>
      </w:r>
    </w:p>
    <w:p w14:paraId="66450E96" w14:textId="77777777" w:rsidR="00A76ABE" w:rsidRPr="00A76ABE" w:rsidRDefault="00A76ABE" w:rsidP="00A76ABE">
      <w:pPr>
        <w:pStyle w:val="Title"/>
        <w:spacing w:after="100"/>
        <w:jc w:val="center"/>
        <w:rPr>
          <w:rFonts w:ascii="Arial" w:hAnsi="Arial" w:cs="Arial"/>
          <w:b/>
          <w:bCs/>
          <w:sz w:val="24"/>
          <w:szCs w:val="24"/>
          <w:lang w:val="uk-UA"/>
        </w:rPr>
      </w:pPr>
    </w:p>
    <w:p w14:paraId="22E8B02B" w14:textId="7E487FF8" w:rsidR="00501F4B" w:rsidRPr="00A76ABE" w:rsidRDefault="00000000" w:rsidP="00A76ABE">
      <w:pPr>
        <w:pStyle w:val="Title"/>
        <w:spacing w:after="100"/>
        <w:rPr>
          <w:rFonts w:ascii="Arial" w:hAnsi="Arial" w:cs="Arial"/>
          <w:b/>
          <w:bCs/>
          <w:sz w:val="24"/>
          <w:szCs w:val="24"/>
        </w:rPr>
      </w:pPr>
      <w:r w:rsidRPr="00A76ABE">
        <w:rPr>
          <w:rFonts w:ascii="Arial" w:hAnsi="Arial" w:cs="Arial"/>
          <w:b/>
          <w:bCs/>
          <w:sz w:val="24"/>
          <w:szCs w:val="24"/>
        </w:rPr>
        <w:t>State-of-the-art regional policy instruments</w:t>
      </w:r>
    </w:p>
    <w:p w14:paraId="53BB2F52" w14:textId="7EB8D240" w:rsidR="00501F4B" w:rsidRPr="00805829" w:rsidRDefault="00000000" w:rsidP="00DF2109">
      <w:pPr>
        <w:spacing w:after="200"/>
        <w:jc w:val="both"/>
        <w:rPr>
          <w:rFonts w:ascii="Arial" w:hAnsi="Arial" w:cs="Arial"/>
          <w:sz w:val="22"/>
          <w:szCs w:val="22"/>
        </w:rPr>
      </w:pPr>
      <w:r w:rsidRPr="00805829">
        <w:rPr>
          <w:rFonts w:ascii="Arial" w:hAnsi="Arial" w:cs="Arial"/>
          <w:b/>
          <w:bCs/>
          <w:sz w:val="22"/>
          <w:szCs w:val="22"/>
        </w:rPr>
        <w:t xml:space="preserve">Author: </w:t>
      </w:r>
      <w:r w:rsidRPr="00805829">
        <w:rPr>
          <w:rFonts w:ascii="Arial" w:hAnsi="Arial" w:cs="Arial"/>
          <w:sz w:val="22"/>
          <w:szCs w:val="22"/>
        </w:rPr>
        <w:t>Federico Bartalucci</w:t>
      </w:r>
    </w:p>
    <w:p w14:paraId="4F13447D" w14:textId="1366D6BE" w:rsidR="00501F4B" w:rsidRPr="00A76ABE" w:rsidRDefault="00000000" w:rsidP="00DF2109">
      <w:pPr>
        <w:pStyle w:val="Heading2"/>
        <w:spacing w:before="120" w:after="120"/>
        <w:jc w:val="both"/>
        <w:rPr>
          <w:rFonts w:ascii="Arial" w:hAnsi="Arial" w:cs="Arial"/>
          <w:b/>
          <w:bCs/>
          <w:color w:val="000000" w:themeColor="text1"/>
          <w:sz w:val="22"/>
          <w:szCs w:val="22"/>
          <w:lang w:val="uk-UA"/>
        </w:rPr>
      </w:pPr>
      <w:r w:rsidRPr="00A76ABE">
        <w:rPr>
          <w:rFonts w:ascii="Arial" w:hAnsi="Arial" w:cs="Arial"/>
          <w:b/>
          <w:bCs/>
          <w:color w:val="000000" w:themeColor="text1"/>
          <w:sz w:val="22"/>
          <w:szCs w:val="22"/>
        </w:rPr>
        <w:t>References</w:t>
      </w:r>
      <w:r w:rsidR="00A76ABE">
        <w:rPr>
          <w:rFonts w:ascii="Arial" w:hAnsi="Arial" w:cs="Arial"/>
          <w:b/>
          <w:bCs/>
          <w:color w:val="000000" w:themeColor="text1"/>
          <w:sz w:val="22"/>
          <w:szCs w:val="22"/>
          <w:lang w:val="uk-UA"/>
        </w:rPr>
        <w:t>:</w:t>
      </w:r>
    </w:p>
    <w:p w14:paraId="3137583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Aranguren, M. J., Navarro, M., &amp; Wilson, J. R. (2015). From plan to process: Exploring the leadership implications of RIS3. Orkestra Work. Pap. Ser. Territ. </w:t>
      </w:r>
      <w:proofErr w:type="spellStart"/>
      <w:r w:rsidRPr="00805829">
        <w:rPr>
          <w:rFonts w:ascii="Arial" w:hAnsi="Arial" w:cs="Arial"/>
          <w:sz w:val="22"/>
          <w:szCs w:val="22"/>
        </w:rPr>
        <w:t>Compet</w:t>
      </w:r>
      <w:proofErr w:type="spellEnd"/>
      <w:r w:rsidRPr="00805829">
        <w:rPr>
          <w:rFonts w:ascii="Arial" w:hAnsi="Arial" w:cs="Arial"/>
          <w:sz w:val="22"/>
          <w:szCs w:val="22"/>
        </w:rPr>
        <w:t>., 1, 1-30.</w:t>
      </w:r>
    </w:p>
    <w:p w14:paraId="3340D40F"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Ardanaz</w:t>
      </w:r>
      <w:proofErr w:type="spellEnd"/>
      <w:r w:rsidRPr="00805829">
        <w:rPr>
          <w:rFonts w:ascii="Arial" w:hAnsi="Arial" w:cs="Arial"/>
          <w:sz w:val="22"/>
          <w:szCs w:val="22"/>
          <w:lang w:val="es-ES"/>
        </w:rPr>
        <w:t xml:space="preserve">, M., Otálvaro-Ramírez, S., &amp; </w:t>
      </w:r>
      <w:proofErr w:type="spellStart"/>
      <w:r w:rsidRPr="00805829">
        <w:rPr>
          <w:rFonts w:ascii="Arial" w:hAnsi="Arial" w:cs="Arial"/>
          <w:sz w:val="22"/>
          <w:szCs w:val="22"/>
          <w:lang w:val="es-ES"/>
        </w:rPr>
        <w:t>Scartascini</w:t>
      </w:r>
      <w:proofErr w:type="spellEnd"/>
      <w:r w:rsidRPr="00805829">
        <w:rPr>
          <w:rFonts w:ascii="Arial" w:hAnsi="Arial" w:cs="Arial"/>
          <w:sz w:val="22"/>
          <w:szCs w:val="22"/>
          <w:lang w:val="es-ES"/>
        </w:rPr>
        <w:t xml:space="preserve">, C. (2023). </w:t>
      </w:r>
      <w:r w:rsidRPr="00805829">
        <w:rPr>
          <w:rFonts w:ascii="Arial" w:hAnsi="Arial" w:cs="Arial"/>
          <w:sz w:val="22"/>
          <w:szCs w:val="22"/>
        </w:rPr>
        <w:t xml:space="preserve">Does information about citizen participation initiatives increase political </w:t>
      </w:r>
      <w:proofErr w:type="gramStart"/>
      <w:r w:rsidRPr="00805829">
        <w:rPr>
          <w:rFonts w:ascii="Arial" w:hAnsi="Arial" w:cs="Arial"/>
          <w:sz w:val="22"/>
          <w:szCs w:val="22"/>
        </w:rPr>
        <w:t>trust?.</w:t>
      </w:r>
      <w:proofErr w:type="gramEnd"/>
      <w:r w:rsidRPr="00805829">
        <w:rPr>
          <w:rFonts w:ascii="Arial" w:hAnsi="Arial" w:cs="Arial"/>
          <w:sz w:val="22"/>
          <w:szCs w:val="22"/>
        </w:rPr>
        <w:t xml:space="preserve"> World Development, 162, 106132.</w:t>
      </w:r>
    </w:p>
    <w:p w14:paraId="59140A4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Asheim, B. T., &amp; Coenen, L. (2005). </w:t>
      </w:r>
      <w:r w:rsidRPr="00805829">
        <w:rPr>
          <w:rFonts w:ascii="Arial" w:hAnsi="Arial" w:cs="Arial"/>
          <w:sz w:val="22"/>
          <w:szCs w:val="22"/>
        </w:rPr>
        <w:t>Knowledge bases and regional innovation systems: Comparing Nordic clusters. Research policy, 34(8), 1173-1190.</w:t>
      </w:r>
    </w:p>
    <w:p w14:paraId="70DA526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Bache, I., &amp; Flinders, M. (2004). Multi-level governance. Oxford University Press</w:t>
      </w:r>
    </w:p>
    <w:p w14:paraId="02981DC0"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de-DE"/>
        </w:rPr>
        <w:t>Bächtiger</w:t>
      </w:r>
      <w:proofErr w:type="spellEnd"/>
      <w:r w:rsidRPr="00805829">
        <w:rPr>
          <w:rFonts w:ascii="Arial" w:hAnsi="Arial" w:cs="Arial"/>
          <w:sz w:val="22"/>
          <w:szCs w:val="22"/>
          <w:lang w:val="de-DE"/>
        </w:rPr>
        <w:t xml:space="preserve">, A., </w:t>
      </w:r>
      <w:proofErr w:type="spellStart"/>
      <w:r w:rsidRPr="00805829">
        <w:rPr>
          <w:rFonts w:ascii="Arial" w:hAnsi="Arial" w:cs="Arial"/>
          <w:sz w:val="22"/>
          <w:szCs w:val="22"/>
          <w:lang w:val="de-DE"/>
        </w:rPr>
        <w:t>Dryzek</w:t>
      </w:r>
      <w:proofErr w:type="spellEnd"/>
      <w:r w:rsidRPr="00805829">
        <w:rPr>
          <w:rFonts w:ascii="Arial" w:hAnsi="Arial" w:cs="Arial"/>
          <w:sz w:val="22"/>
          <w:szCs w:val="22"/>
          <w:lang w:val="de-DE"/>
        </w:rPr>
        <w:t xml:space="preserve">, J., Mansbridge, J., Warren, M., 2018. </w:t>
      </w:r>
      <w:r w:rsidRPr="00805829">
        <w:rPr>
          <w:rFonts w:ascii="Arial" w:hAnsi="Arial" w:cs="Arial"/>
          <w:sz w:val="22"/>
          <w:szCs w:val="22"/>
        </w:rPr>
        <w:t xml:space="preserve">Deliberative Democracy: an introduction. In A. Bächtiger, J. </w:t>
      </w:r>
      <w:proofErr w:type="spellStart"/>
      <w:r w:rsidRPr="00805829">
        <w:rPr>
          <w:rFonts w:ascii="Arial" w:hAnsi="Arial" w:cs="Arial"/>
          <w:sz w:val="22"/>
          <w:szCs w:val="22"/>
        </w:rPr>
        <w:t>Dryzek</w:t>
      </w:r>
      <w:proofErr w:type="spellEnd"/>
      <w:r w:rsidRPr="00805829">
        <w:rPr>
          <w:rFonts w:ascii="Arial" w:hAnsi="Arial" w:cs="Arial"/>
          <w:sz w:val="22"/>
          <w:szCs w:val="22"/>
        </w:rPr>
        <w:t>, J. Mansbridge, &amp; M. Warren (Eds.), The Oxford Handbook of Deliberative Democracy (pp. 1-31). (Oxford Handbooks). Oxford University Press.</w:t>
      </w:r>
    </w:p>
    <w:p w14:paraId="20BA0A9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Bachtler, J., Berkowitz, P., Hardy, S., &amp; </w:t>
      </w:r>
      <w:proofErr w:type="spellStart"/>
      <w:r w:rsidRPr="00805829">
        <w:rPr>
          <w:rFonts w:ascii="Arial" w:hAnsi="Arial" w:cs="Arial"/>
          <w:sz w:val="22"/>
          <w:szCs w:val="22"/>
          <w:lang w:val="de-DE"/>
        </w:rPr>
        <w:t>Muravska</w:t>
      </w:r>
      <w:proofErr w:type="spellEnd"/>
      <w:r w:rsidRPr="00805829">
        <w:rPr>
          <w:rFonts w:ascii="Arial" w:hAnsi="Arial" w:cs="Arial"/>
          <w:sz w:val="22"/>
          <w:szCs w:val="22"/>
          <w:lang w:val="de-DE"/>
        </w:rPr>
        <w:t xml:space="preserve">, T. (2016). </w:t>
      </w:r>
      <w:r w:rsidRPr="00805829">
        <w:rPr>
          <w:rFonts w:ascii="Arial" w:hAnsi="Arial" w:cs="Arial"/>
          <w:sz w:val="22"/>
          <w:szCs w:val="22"/>
        </w:rPr>
        <w:t>EU cohesion policy: Reassessing performance and direction (p. 344). Taylor &amp; Francis.</w:t>
      </w:r>
    </w:p>
    <w:p w14:paraId="1C362E4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Bahl, R. W., &amp; Bird, R. M. (2008). </w:t>
      </w:r>
      <w:r w:rsidRPr="00805829">
        <w:rPr>
          <w:rFonts w:ascii="Arial" w:hAnsi="Arial" w:cs="Arial"/>
          <w:sz w:val="22"/>
          <w:szCs w:val="22"/>
        </w:rPr>
        <w:t>Tax policy in developing countries: Looking back---and forward. National Tax Journal, 61(2), 279-301.</w:t>
      </w:r>
    </w:p>
    <w:p w14:paraId="6599892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Bahl, R., &amp; Bird, R. M. (2008). </w:t>
      </w:r>
      <w:r w:rsidRPr="00805829">
        <w:rPr>
          <w:rFonts w:ascii="Arial" w:hAnsi="Arial" w:cs="Arial"/>
          <w:sz w:val="22"/>
          <w:szCs w:val="22"/>
        </w:rPr>
        <w:t>Tax policy in developing countries: Looking back and forward. National Tax Journal, 61(2), 279-301.</w:t>
      </w:r>
    </w:p>
    <w:p w14:paraId="4E3025B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Bahl, R., &amp; Martínez-Vázquez, J. (2013). </w:t>
      </w:r>
      <w:r w:rsidRPr="00805829">
        <w:rPr>
          <w:rFonts w:ascii="Arial" w:hAnsi="Arial" w:cs="Arial"/>
          <w:sz w:val="22"/>
          <w:szCs w:val="22"/>
        </w:rPr>
        <w:t>Sequencing fiscal decentralization. Annals of Economics and Finance, 14(2 (B)), 623-670.</w:t>
      </w:r>
    </w:p>
    <w:p w14:paraId="2824ABD0"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Barankay</w:t>
      </w:r>
      <w:proofErr w:type="spellEnd"/>
      <w:r w:rsidRPr="00805829">
        <w:rPr>
          <w:rFonts w:ascii="Arial" w:hAnsi="Arial" w:cs="Arial"/>
          <w:sz w:val="22"/>
          <w:szCs w:val="22"/>
        </w:rPr>
        <w:t>, I., &amp; Lockwood, B. (2007). Decentralization and the productive efficiency of government: Evidence from Swiss cantons. Journal of public economics, 91(5-6), 1197-1218.</w:t>
      </w:r>
    </w:p>
    <w:p w14:paraId="21E0107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Barca, F. (2008). An agenda for a reformed cohesion policy a place-based approach to meeting European Union challenges and expectations (No. EERI_RP_2008_06). Economics and Econometrics Research Institute (EERI), Brussels.</w:t>
      </w:r>
    </w:p>
    <w:p w14:paraId="2BE4B77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Barca, F., McCann, P., &amp; Rodríguez-Pose, A. (2012). </w:t>
      </w:r>
      <w:r w:rsidRPr="00805829">
        <w:rPr>
          <w:rFonts w:ascii="Arial" w:hAnsi="Arial" w:cs="Arial"/>
          <w:sz w:val="22"/>
          <w:szCs w:val="22"/>
        </w:rPr>
        <w:t>The case for regional development intervention: Place-based versus place-neutral approaches. Journal of Regional Science, 52(1), 134-152.</w:t>
      </w:r>
    </w:p>
    <w:p w14:paraId="006025D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Bardhan, P. (2002). Decentralization of governance and development. Journal of Economic perspectives, 16(4), 185-205.</w:t>
      </w:r>
    </w:p>
    <w:p w14:paraId="039813A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Barro, R. J., &amp; Sala-i-Martin, X. (2004). Economic growth (2nd ed.). MIT Press</w:t>
      </w:r>
    </w:p>
    <w:p w14:paraId="7C37AFA2" w14:textId="77777777" w:rsidR="00501F4B" w:rsidRPr="00805829" w:rsidRDefault="00000000" w:rsidP="00DF2109">
      <w:pPr>
        <w:pStyle w:val="ListParagraph"/>
        <w:numPr>
          <w:ilvl w:val="0"/>
          <w:numId w:val="1"/>
        </w:numPr>
        <w:spacing w:after="120"/>
        <w:jc w:val="both"/>
        <w:rPr>
          <w:rFonts w:ascii="Arial" w:hAnsi="Arial" w:cs="Arial"/>
          <w:sz w:val="22"/>
          <w:szCs w:val="22"/>
          <w:lang w:val="de-DE"/>
        </w:rPr>
      </w:pPr>
      <w:r w:rsidRPr="00805829">
        <w:rPr>
          <w:rFonts w:ascii="Arial" w:hAnsi="Arial" w:cs="Arial"/>
          <w:sz w:val="22"/>
          <w:szCs w:val="22"/>
          <w:lang w:val="de-DE"/>
        </w:rPr>
        <w:t xml:space="preserve">Bertelsmann Stiftung. (2022). BTI 2022 </w:t>
      </w:r>
      <w:proofErr w:type="spellStart"/>
      <w:r w:rsidRPr="00805829">
        <w:rPr>
          <w:rFonts w:ascii="Arial" w:hAnsi="Arial" w:cs="Arial"/>
          <w:sz w:val="22"/>
          <w:szCs w:val="22"/>
          <w:lang w:val="de-DE"/>
        </w:rPr>
        <w:t>country</w:t>
      </w:r>
      <w:proofErr w:type="spellEnd"/>
      <w:r w:rsidRPr="00805829">
        <w:rPr>
          <w:rFonts w:ascii="Arial" w:hAnsi="Arial" w:cs="Arial"/>
          <w:sz w:val="22"/>
          <w:szCs w:val="22"/>
          <w:lang w:val="de-DE"/>
        </w:rPr>
        <w:t xml:space="preserve"> </w:t>
      </w:r>
      <w:proofErr w:type="spellStart"/>
      <w:r w:rsidRPr="00805829">
        <w:rPr>
          <w:rFonts w:ascii="Arial" w:hAnsi="Arial" w:cs="Arial"/>
          <w:sz w:val="22"/>
          <w:szCs w:val="22"/>
          <w:lang w:val="de-DE"/>
        </w:rPr>
        <w:t>report</w:t>
      </w:r>
      <w:proofErr w:type="spellEnd"/>
      <w:r w:rsidRPr="00805829">
        <w:rPr>
          <w:rFonts w:ascii="Arial" w:hAnsi="Arial" w:cs="Arial"/>
          <w:sz w:val="22"/>
          <w:szCs w:val="22"/>
          <w:lang w:val="de-DE"/>
        </w:rPr>
        <w:t>: Ukraine. Bertelsmann Stiftung.</w:t>
      </w:r>
    </w:p>
    <w:p w14:paraId="7F59D59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Blažek, J., &amp; </w:t>
      </w:r>
      <w:proofErr w:type="spellStart"/>
      <w:r w:rsidRPr="00805829">
        <w:rPr>
          <w:rFonts w:ascii="Arial" w:hAnsi="Arial" w:cs="Arial"/>
          <w:sz w:val="22"/>
          <w:szCs w:val="22"/>
        </w:rPr>
        <w:t>Vozáb</w:t>
      </w:r>
      <w:proofErr w:type="spellEnd"/>
      <w:r w:rsidRPr="00805829">
        <w:rPr>
          <w:rFonts w:ascii="Arial" w:hAnsi="Arial" w:cs="Arial"/>
          <w:sz w:val="22"/>
          <w:szCs w:val="22"/>
        </w:rPr>
        <w:t xml:space="preserve">, J. (2004). Institutional, organizational and programming context for support of regional development in the Czech Republic: a critique. Czech Geography at the Dawn of the Millennium, Olomouc: </w:t>
      </w:r>
      <w:proofErr w:type="spellStart"/>
      <w:r w:rsidRPr="00805829">
        <w:rPr>
          <w:rFonts w:ascii="Arial" w:hAnsi="Arial" w:cs="Arial"/>
          <w:sz w:val="22"/>
          <w:szCs w:val="22"/>
        </w:rPr>
        <w:t>Česká</w:t>
      </w:r>
      <w:proofErr w:type="spellEnd"/>
      <w:r w:rsidRPr="00805829">
        <w:rPr>
          <w:rFonts w:ascii="Arial" w:hAnsi="Arial" w:cs="Arial"/>
          <w:sz w:val="22"/>
          <w:szCs w:val="22"/>
        </w:rPr>
        <w:t xml:space="preserve"> </w:t>
      </w:r>
      <w:proofErr w:type="spellStart"/>
      <w:r w:rsidRPr="00805829">
        <w:rPr>
          <w:rFonts w:ascii="Arial" w:hAnsi="Arial" w:cs="Arial"/>
          <w:sz w:val="22"/>
          <w:szCs w:val="22"/>
        </w:rPr>
        <w:t>geografická</w:t>
      </w:r>
      <w:proofErr w:type="spellEnd"/>
      <w:r w:rsidRPr="00805829">
        <w:rPr>
          <w:rFonts w:ascii="Arial" w:hAnsi="Arial" w:cs="Arial"/>
          <w:sz w:val="22"/>
          <w:szCs w:val="22"/>
        </w:rPr>
        <w:t xml:space="preserve"> </w:t>
      </w:r>
      <w:proofErr w:type="spellStart"/>
      <w:r w:rsidRPr="00805829">
        <w:rPr>
          <w:rFonts w:ascii="Arial" w:hAnsi="Arial" w:cs="Arial"/>
          <w:sz w:val="22"/>
          <w:szCs w:val="22"/>
        </w:rPr>
        <w:t>společnost</w:t>
      </w:r>
      <w:proofErr w:type="spellEnd"/>
      <w:r w:rsidRPr="00805829">
        <w:rPr>
          <w:rFonts w:ascii="Arial" w:hAnsi="Arial" w:cs="Arial"/>
          <w:sz w:val="22"/>
          <w:szCs w:val="22"/>
        </w:rPr>
        <w:t>.</w:t>
      </w:r>
    </w:p>
    <w:p w14:paraId="3464FA85"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lastRenderedPageBreak/>
        <w:t>Blöchliger</w:t>
      </w:r>
      <w:proofErr w:type="spellEnd"/>
      <w:r w:rsidRPr="00805829">
        <w:rPr>
          <w:rFonts w:ascii="Arial" w:hAnsi="Arial" w:cs="Arial"/>
          <w:sz w:val="22"/>
          <w:szCs w:val="22"/>
        </w:rPr>
        <w:t>, H. (2015). The challenge of measuring fiscal decentralization. In Handbook of Multilevel Finance (pp. 617-632). Edward Elgar Publishing.</w:t>
      </w:r>
    </w:p>
    <w:p w14:paraId="20EB9E5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Boadway, R., &amp; Shah, A. (2009). Fiscal federalism: Principles and practice of </w:t>
      </w:r>
      <w:proofErr w:type="spellStart"/>
      <w:proofErr w:type="gramStart"/>
      <w:r w:rsidRPr="00805829">
        <w:rPr>
          <w:rFonts w:ascii="Arial" w:hAnsi="Arial" w:cs="Arial"/>
          <w:sz w:val="22"/>
          <w:szCs w:val="22"/>
        </w:rPr>
        <w:t>multiorder</w:t>
      </w:r>
      <w:proofErr w:type="spellEnd"/>
      <w:proofErr w:type="gramEnd"/>
      <w:r w:rsidRPr="00805829">
        <w:rPr>
          <w:rFonts w:ascii="Arial" w:hAnsi="Arial" w:cs="Arial"/>
          <w:sz w:val="22"/>
          <w:szCs w:val="22"/>
        </w:rPr>
        <w:t xml:space="preserve"> governance. Cambridge University Press.</w:t>
      </w:r>
    </w:p>
    <w:p w14:paraId="0A26BAF7"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Bolgherini</w:t>
      </w:r>
      <w:proofErr w:type="spellEnd"/>
      <w:r w:rsidRPr="00805829">
        <w:rPr>
          <w:rFonts w:ascii="Arial" w:hAnsi="Arial" w:cs="Arial"/>
          <w:sz w:val="22"/>
          <w:szCs w:val="22"/>
        </w:rPr>
        <w:t>, S., Di Giulio, M., &amp; Lippi, A. (2018). From the change of the pattern to the change in the pattern. The trilateral game in the Italian intergovernmental relations. European Policy Analysis, 4(1), 48-</w:t>
      </w:r>
      <w:proofErr w:type="gramStart"/>
      <w:r w:rsidRPr="00805829">
        <w:rPr>
          <w:rFonts w:ascii="Arial" w:hAnsi="Arial" w:cs="Arial"/>
          <w:sz w:val="22"/>
          <w:szCs w:val="22"/>
        </w:rPr>
        <w:t>71..</w:t>
      </w:r>
      <w:proofErr w:type="gramEnd"/>
    </w:p>
    <w:p w14:paraId="0ADF482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Breathnach, P. (2010). From spatial </w:t>
      </w:r>
      <w:proofErr w:type="spellStart"/>
      <w:r w:rsidRPr="00805829">
        <w:rPr>
          <w:rFonts w:ascii="Arial" w:hAnsi="Arial" w:cs="Arial"/>
          <w:sz w:val="22"/>
          <w:szCs w:val="22"/>
        </w:rPr>
        <w:t>keynesianism</w:t>
      </w:r>
      <w:proofErr w:type="spellEnd"/>
      <w:r w:rsidRPr="00805829">
        <w:rPr>
          <w:rFonts w:ascii="Arial" w:hAnsi="Arial" w:cs="Arial"/>
          <w:sz w:val="22"/>
          <w:szCs w:val="22"/>
        </w:rPr>
        <w:t xml:space="preserve"> to post</w:t>
      </w:r>
      <w:r w:rsidRPr="00805829">
        <w:rPr>
          <w:rFonts w:ascii="Cambria Math" w:hAnsi="Cambria Math" w:cs="Cambria Math"/>
          <w:sz w:val="22"/>
          <w:szCs w:val="22"/>
        </w:rPr>
        <w:t>‐</w:t>
      </w:r>
      <w:proofErr w:type="spellStart"/>
      <w:r w:rsidRPr="00805829">
        <w:rPr>
          <w:rFonts w:ascii="Arial" w:hAnsi="Arial" w:cs="Arial"/>
          <w:sz w:val="22"/>
          <w:szCs w:val="22"/>
        </w:rPr>
        <w:t>fordist</w:t>
      </w:r>
      <w:proofErr w:type="spellEnd"/>
      <w:r w:rsidRPr="00805829">
        <w:rPr>
          <w:rFonts w:ascii="Arial" w:hAnsi="Arial" w:cs="Arial"/>
          <w:sz w:val="22"/>
          <w:szCs w:val="22"/>
        </w:rPr>
        <w:t xml:space="preserve"> neoliberalism: emerging contradictions in the spatiality of the Irish State. Antipode, 42(5), 1180-1199.</w:t>
      </w:r>
    </w:p>
    <w:p w14:paraId="32E009BD"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fr-FR"/>
        </w:rPr>
        <w:t>Béal</w:t>
      </w:r>
      <w:proofErr w:type="spellEnd"/>
      <w:r w:rsidRPr="00805829">
        <w:rPr>
          <w:rFonts w:ascii="Arial" w:hAnsi="Arial" w:cs="Arial"/>
          <w:sz w:val="22"/>
          <w:szCs w:val="22"/>
          <w:lang w:val="fr-FR"/>
        </w:rPr>
        <w:t xml:space="preserve">, V., Epstein, R., &amp; Pinson, G. (2017). </w:t>
      </w:r>
      <w:r w:rsidRPr="00805829">
        <w:rPr>
          <w:rFonts w:ascii="Arial" w:hAnsi="Arial" w:cs="Arial"/>
          <w:sz w:val="22"/>
          <w:szCs w:val="22"/>
        </w:rPr>
        <w:t>Networked cities in the Francophone world. In P. John, A. Mossberger, &amp; M. Clarke (Eds.), The Oxford handbook of urban politics (pp. 351-367). Oxford University Press.</w:t>
      </w:r>
    </w:p>
    <w:p w14:paraId="57E25E0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Casula, M., Leonardi, R., &amp; </w:t>
      </w:r>
      <w:proofErr w:type="spellStart"/>
      <w:r w:rsidRPr="00805829">
        <w:rPr>
          <w:rFonts w:ascii="Arial" w:hAnsi="Arial" w:cs="Arial"/>
          <w:sz w:val="22"/>
          <w:szCs w:val="22"/>
          <w:lang w:val="es-ES"/>
        </w:rPr>
        <w:t>Nanetti</w:t>
      </w:r>
      <w:proofErr w:type="spellEnd"/>
      <w:r w:rsidRPr="00805829">
        <w:rPr>
          <w:rFonts w:ascii="Arial" w:hAnsi="Arial" w:cs="Arial"/>
          <w:sz w:val="22"/>
          <w:szCs w:val="22"/>
          <w:lang w:val="es-ES"/>
        </w:rPr>
        <w:t xml:space="preserve">, R. Y. (2024). </w:t>
      </w:r>
      <w:r w:rsidRPr="00805829">
        <w:rPr>
          <w:rFonts w:ascii="Arial" w:hAnsi="Arial" w:cs="Arial"/>
          <w:sz w:val="22"/>
          <w:szCs w:val="22"/>
        </w:rPr>
        <w:t>Partnerships in Cohesion Policy for smart, inclusive and sustainable growth: an operational framework for effective multi-level policy implementation. In EU Cohesion Policy (pp. 275-291). Edward Elgar Publishing.</w:t>
      </w:r>
    </w:p>
    <w:p w14:paraId="223DAEC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Centre national de la fonction publique territoriale (CNFPT). </w:t>
      </w:r>
      <w:r w:rsidRPr="00805829">
        <w:rPr>
          <w:rFonts w:ascii="Arial" w:hAnsi="Arial" w:cs="Arial"/>
          <w:sz w:val="22"/>
          <w:szCs w:val="22"/>
        </w:rPr>
        <w:t>(2023). Annual Report 2022. CNFPT.</w:t>
      </w:r>
    </w:p>
    <w:p w14:paraId="33679ECD"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fr-FR"/>
        </w:rPr>
        <w:t>Charbit</w:t>
      </w:r>
      <w:proofErr w:type="spellEnd"/>
      <w:r w:rsidRPr="00805829">
        <w:rPr>
          <w:rFonts w:ascii="Arial" w:hAnsi="Arial" w:cs="Arial"/>
          <w:sz w:val="22"/>
          <w:szCs w:val="22"/>
          <w:lang w:val="fr-FR"/>
        </w:rPr>
        <w:t xml:space="preserve">, C., &amp; </w:t>
      </w:r>
      <w:proofErr w:type="spellStart"/>
      <w:r w:rsidRPr="00805829">
        <w:rPr>
          <w:rFonts w:ascii="Arial" w:hAnsi="Arial" w:cs="Arial"/>
          <w:sz w:val="22"/>
          <w:szCs w:val="22"/>
          <w:lang w:val="fr-FR"/>
        </w:rPr>
        <w:t>Michalun</w:t>
      </w:r>
      <w:proofErr w:type="spellEnd"/>
      <w:r w:rsidRPr="00805829">
        <w:rPr>
          <w:rFonts w:ascii="Arial" w:hAnsi="Arial" w:cs="Arial"/>
          <w:sz w:val="22"/>
          <w:szCs w:val="22"/>
          <w:lang w:val="fr-FR"/>
        </w:rPr>
        <w:t xml:space="preserve">, M. V. (2009). </w:t>
      </w:r>
      <w:r w:rsidRPr="00805829">
        <w:rPr>
          <w:rFonts w:ascii="Arial" w:hAnsi="Arial" w:cs="Arial"/>
          <w:sz w:val="22"/>
          <w:szCs w:val="22"/>
        </w:rPr>
        <w:t>Mind the gaps: Managing mutual dependence in relations among levels of government. OECD Working Papers on Public Governance, (14), 0_1.</w:t>
      </w:r>
    </w:p>
    <w:p w14:paraId="2943FE6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Charron, N., Dijkstra, L., &amp; Lapuente, V. (2015). </w:t>
      </w:r>
      <w:r w:rsidRPr="00805829">
        <w:rPr>
          <w:rFonts w:ascii="Arial" w:hAnsi="Arial" w:cs="Arial"/>
          <w:sz w:val="22"/>
          <w:szCs w:val="22"/>
        </w:rPr>
        <w:t>Mapping the regional divide in Europe: A measure for assessing quality of government in 206 European regions. Social indicators research, 122(2), 315-346.</w:t>
      </w:r>
    </w:p>
    <w:p w14:paraId="3082BC4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Chernick, H. (2004). Fiscal </w:t>
      </w:r>
      <w:proofErr w:type="spellStart"/>
      <w:r w:rsidRPr="00805829">
        <w:rPr>
          <w:rFonts w:ascii="Arial" w:hAnsi="Arial" w:cs="Arial"/>
          <w:sz w:val="22"/>
          <w:szCs w:val="22"/>
        </w:rPr>
        <w:t>equalisation</w:t>
      </w:r>
      <w:proofErr w:type="spellEnd"/>
      <w:r w:rsidRPr="00805829">
        <w:rPr>
          <w:rFonts w:ascii="Arial" w:hAnsi="Arial" w:cs="Arial"/>
          <w:sz w:val="22"/>
          <w:szCs w:val="22"/>
        </w:rPr>
        <w:t xml:space="preserve"> between Swedish municipalities. In Fiscal federalism in unitary states (pp. 77-100). Boston, MA: Springer US.</w:t>
      </w:r>
    </w:p>
    <w:p w14:paraId="227D14D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Colino, C. (2008). The Spanish model of devolution and regional governance: evolution, motivations and effects on policy making. Policy &amp; politics, 36(4), 573-586.</w:t>
      </w:r>
    </w:p>
    <w:p w14:paraId="3394F596"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Congress of Local and Regional Authorities of the Council of Europe. (2024, April 9). Inter-municipal co-operation under martial law in Ukraine: taking stock of existing practices and ways forward.</w:t>
      </w:r>
    </w:p>
    <w:p w14:paraId="749E5CE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Copus, A. K. (2001). From core-periphery to polycentric development: Concepts of spatial and aspatial peripherality. European planning studies, 9(4), 539-552.</w:t>
      </w:r>
    </w:p>
    <w:p w14:paraId="7A5EC27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Council of Europe. (1985). European Charter of Local Self-Government. Council of Europe.</w:t>
      </w:r>
    </w:p>
    <w:p w14:paraId="205814A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Dargan, L., &amp; </w:t>
      </w:r>
      <w:proofErr w:type="spellStart"/>
      <w:r w:rsidRPr="00805829">
        <w:rPr>
          <w:rFonts w:ascii="Arial" w:hAnsi="Arial" w:cs="Arial"/>
          <w:sz w:val="22"/>
          <w:szCs w:val="22"/>
        </w:rPr>
        <w:t>Shucksmith</w:t>
      </w:r>
      <w:proofErr w:type="spellEnd"/>
      <w:r w:rsidRPr="00805829">
        <w:rPr>
          <w:rFonts w:ascii="Arial" w:hAnsi="Arial" w:cs="Arial"/>
          <w:sz w:val="22"/>
          <w:szCs w:val="22"/>
        </w:rPr>
        <w:t xml:space="preserve">, M. (2008). LEADER and innovation. </w:t>
      </w:r>
      <w:proofErr w:type="spellStart"/>
      <w:r w:rsidRPr="00805829">
        <w:rPr>
          <w:rFonts w:ascii="Arial" w:hAnsi="Arial" w:cs="Arial"/>
          <w:sz w:val="22"/>
          <w:szCs w:val="22"/>
        </w:rPr>
        <w:t>Sociologia</w:t>
      </w:r>
      <w:proofErr w:type="spellEnd"/>
      <w:r w:rsidRPr="00805829">
        <w:rPr>
          <w:rFonts w:ascii="Arial" w:hAnsi="Arial" w:cs="Arial"/>
          <w:sz w:val="22"/>
          <w:szCs w:val="22"/>
        </w:rPr>
        <w:t xml:space="preserve"> </w:t>
      </w:r>
      <w:proofErr w:type="spellStart"/>
      <w:r w:rsidRPr="00805829">
        <w:rPr>
          <w:rFonts w:ascii="Arial" w:hAnsi="Arial" w:cs="Arial"/>
          <w:sz w:val="22"/>
          <w:szCs w:val="22"/>
        </w:rPr>
        <w:t>ruralis</w:t>
      </w:r>
      <w:proofErr w:type="spellEnd"/>
      <w:r w:rsidRPr="00805829">
        <w:rPr>
          <w:rFonts w:ascii="Arial" w:hAnsi="Arial" w:cs="Arial"/>
          <w:sz w:val="22"/>
          <w:szCs w:val="22"/>
        </w:rPr>
        <w:t>, 48(3), 274-291.</w:t>
      </w:r>
    </w:p>
    <w:p w14:paraId="6E1CD2A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Delgado, M., Porter, M. E., &amp; Stern, S. (2010). </w:t>
      </w:r>
      <w:r w:rsidRPr="00805829">
        <w:rPr>
          <w:rFonts w:ascii="Arial" w:hAnsi="Arial" w:cs="Arial"/>
          <w:sz w:val="22"/>
          <w:szCs w:val="22"/>
        </w:rPr>
        <w:t>Clusters and entrepreneurship. Journal of economic geography, 10(4), 495-518.</w:t>
      </w:r>
    </w:p>
    <w:p w14:paraId="62CB6E1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Development Asia. (2023). Building world-class civil servants: Korea's civil service training system. Development Asia.</w:t>
      </w:r>
    </w:p>
    <w:p w14:paraId="314C807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Di Caro, P., &amp; Fratesi, U. (2022). </w:t>
      </w:r>
      <w:r w:rsidRPr="00805829">
        <w:rPr>
          <w:rFonts w:ascii="Arial" w:hAnsi="Arial" w:cs="Arial"/>
          <w:sz w:val="22"/>
          <w:szCs w:val="22"/>
        </w:rPr>
        <w:t>One policy, different effects: Estimating the region</w:t>
      </w:r>
      <w:r w:rsidRPr="00805829">
        <w:rPr>
          <w:rFonts w:ascii="Cambria Math" w:hAnsi="Cambria Math" w:cs="Cambria Math"/>
          <w:sz w:val="22"/>
          <w:szCs w:val="22"/>
        </w:rPr>
        <w:t>‐</w:t>
      </w:r>
      <w:r w:rsidRPr="00805829">
        <w:rPr>
          <w:rFonts w:ascii="Arial" w:hAnsi="Arial" w:cs="Arial"/>
          <w:sz w:val="22"/>
          <w:szCs w:val="22"/>
        </w:rPr>
        <w:t>specific impacts of EU cohesion policy. Journal of Regional Science, 62(1), 307-330.</w:t>
      </w:r>
    </w:p>
    <w:p w14:paraId="5EEA247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 xml:space="preserve">Dolan-Evans, E. (2023). Devolution or decapitation? Decentralization during conflict in Ukraine. Journal of Intervention and </w:t>
      </w:r>
      <w:proofErr w:type="spellStart"/>
      <w:r w:rsidRPr="00805829">
        <w:rPr>
          <w:rFonts w:ascii="Arial" w:hAnsi="Arial" w:cs="Arial"/>
          <w:sz w:val="22"/>
          <w:szCs w:val="22"/>
        </w:rPr>
        <w:t>Statebuilding</w:t>
      </w:r>
      <w:proofErr w:type="spellEnd"/>
      <w:r w:rsidRPr="00805829">
        <w:rPr>
          <w:rFonts w:ascii="Arial" w:hAnsi="Arial" w:cs="Arial"/>
          <w:sz w:val="22"/>
          <w:szCs w:val="22"/>
        </w:rPr>
        <w:t>, 17(1), 16-38.</w:t>
      </w:r>
    </w:p>
    <w:p w14:paraId="57858FA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Dougherty, S., &amp; Forman, K. (2021). Evaluating fiscal </w:t>
      </w:r>
      <w:proofErr w:type="spellStart"/>
      <w:r w:rsidRPr="00805829">
        <w:rPr>
          <w:rFonts w:ascii="Arial" w:hAnsi="Arial" w:cs="Arial"/>
          <w:sz w:val="22"/>
          <w:szCs w:val="22"/>
        </w:rPr>
        <w:t>equalisation</w:t>
      </w:r>
      <w:proofErr w:type="spellEnd"/>
      <w:r w:rsidRPr="00805829">
        <w:rPr>
          <w:rFonts w:ascii="Arial" w:hAnsi="Arial" w:cs="Arial"/>
          <w:sz w:val="22"/>
          <w:szCs w:val="22"/>
        </w:rPr>
        <w:t>: Finding the right balance. OECD Working Papers on Fiscal Federalism, (36), 0_1-43.</w:t>
      </w:r>
    </w:p>
    <w:p w14:paraId="39E573E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Dąbrowski, M. (2012). Shallow or deep Europeanisation? The uneven impact of EU cohesion policy on the regional and local authorities in Poland. Environment and Planning C: Government and Policy, 30(4), 730-745.</w:t>
      </w:r>
    </w:p>
    <w:p w14:paraId="329D3F0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Dąbrowski, M. (2014). EU cohesion policy, horizontal partnership and the patterns of sub-national governance: Insights from Central and Eastern Europe. European Urban and Regional Studies, 21(4), 364-383.</w:t>
      </w:r>
    </w:p>
    <w:p w14:paraId="55872FDA"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Eraydin</w:t>
      </w:r>
      <w:proofErr w:type="spellEnd"/>
      <w:r w:rsidRPr="00805829">
        <w:rPr>
          <w:rFonts w:ascii="Arial" w:hAnsi="Arial" w:cs="Arial"/>
          <w:sz w:val="22"/>
          <w:szCs w:val="22"/>
        </w:rPr>
        <w:t xml:space="preserve">, A., &amp; </w:t>
      </w:r>
      <w:proofErr w:type="spellStart"/>
      <w:r w:rsidRPr="00805829">
        <w:rPr>
          <w:rFonts w:ascii="Arial" w:hAnsi="Arial" w:cs="Arial"/>
          <w:sz w:val="22"/>
          <w:szCs w:val="22"/>
        </w:rPr>
        <w:t>Taşan</w:t>
      </w:r>
      <w:proofErr w:type="spellEnd"/>
      <w:r w:rsidRPr="00805829">
        <w:rPr>
          <w:rFonts w:ascii="Arial" w:hAnsi="Arial" w:cs="Arial"/>
          <w:sz w:val="22"/>
          <w:szCs w:val="22"/>
        </w:rPr>
        <w:t>-Kok, T. (Eds.). (2013). Resilience thinking in urban planning. Springer.</w:t>
      </w:r>
    </w:p>
    <w:p w14:paraId="3E43AF4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 CAP Network. (2024). LEADER success stories across the CAP. Retrieved from: &lt;https://eu-cap-network.ec.europa.eu/news/leader-success-stories-across-cap_en&gt;</w:t>
      </w:r>
    </w:p>
    <w:p w14:paraId="45A77AD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European Commission (2014). The Performance Reserve: Rewarding Performance in Cohesion Policy 2014--2020. Brussels: DG Regional and Urban Policy. Available at: &lt;https://ec.europa.eu/regional_policy&gt;</w:t>
      </w:r>
    </w:p>
    <w:p w14:paraId="4520CB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European Commission (2017). My Region, My Europe, Our Future: Seventh Report on Economic, Social and Territorial Cohesion. Brussels: Publications Office of the European Union.</w:t>
      </w:r>
    </w:p>
    <w:p w14:paraId="161A5AA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European Commission. (2023). Ukraine 2023 report. European Commission.</w:t>
      </w:r>
    </w:p>
    <w:p w14:paraId="0C13D9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European Commission. (2025a). Ukraine 2025 Report. Commission Staff Working Document accompanying the document Communication from the Commission to the European Parliament, the Council, the European Economic and Social Committee and the Committee of the Regions '2025 Communication on EU enlargement policy'. </w:t>
      </w:r>
      <w:proofErr w:type="gramStart"/>
      <w:r w:rsidRPr="00805829">
        <w:rPr>
          <w:rFonts w:ascii="Arial" w:hAnsi="Arial" w:cs="Arial"/>
          <w:sz w:val="22"/>
          <w:szCs w:val="22"/>
        </w:rPr>
        <w:t>SWD(</w:t>
      </w:r>
      <w:proofErr w:type="gramEnd"/>
      <w:r w:rsidRPr="00805829">
        <w:rPr>
          <w:rFonts w:ascii="Arial" w:hAnsi="Arial" w:cs="Arial"/>
          <w:sz w:val="22"/>
          <w:szCs w:val="22"/>
        </w:rPr>
        <w:t>2025) 759 final. Brussels, Belgium. November 2025.</w:t>
      </w:r>
    </w:p>
    <w:p w14:paraId="7089565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European Commission. (2025b). </w:t>
      </w:r>
      <w:proofErr w:type="spellStart"/>
      <w:r w:rsidRPr="00805829">
        <w:rPr>
          <w:rFonts w:ascii="Arial" w:hAnsi="Arial" w:cs="Arial"/>
          <w:sz w:val="22"/>
          <w:szCs w:val="22"/>
        </w:rPr>
        <w:t>Organisational</w:t>
      </w:r>
      <w:proofErr w:type="spellEnd"/>
      <w:r w:rsidRPr="00805829">
        <w:rPr>
          <w:rFonts w:ascii="Arial" w:hAnsi="Arial" w:cs="Arial"/>
          <w:sz w:val="22"/>
          <w:szCs w:val="22"/>
        </w:rPr>
        <w:t xml:space="preserve"> models of </w:t>
      </w:r>
      <w:proofErr w:type="spellStart"/>
      <w:r w:rsidRPr="00805829">
        <w:rPr>
          <w:rFonts w:ascii="Arial" w:hAnsi="Arial" w:cs="Arial"/>
          <w:sz w:val="22"/>
          <w:szCs w:val="22"/>
        </w:rPr>
        <w:t>programme</w:t>
      </w:r>
      <w:proofErr w:type="spellEnd"/>
      <w:r w:rsidRPr="00805829">
        <w:rPr>
          <w:rFonts w:ascii="Arial" w:hAnsi="Arial" w:cs="Arial"/>
          <w:sz w:val="22"/>
          <w:szCs w:val="22"/>
        </w:rPr>
        <w:t xml:space="preserve"> authorities managing EU Cohesion policy 2000-2020. Final Report. Luxembourg: Publications Office of the European Union, 2025.</w:t>
      </w:r>
    </w:p>
    <w:p w14:paraId="5FC1E10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Ezcurra, R., &amp; Rodríguez-Pose, A. (2013). </w:t>
      </w:r>
      <w:r w:rsidRPr="00805829">
        <w:rPr>
          <w:rFonts w:ascii="Arial" w:hAnsi="Arial" w:cs="Arial"/>
          <w:sz w:val="22"/>
          <w:szCs w:val="22"/>
        </w:rPr>
        <w:t>Political decentralization, economic growth and regional disparities in the OECD. Regional Studies, 47(3), 388-401.</w:t>
      </w:r>
    </w:p>
    <w:p w14:paraId="2BE1D36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Faguet, J. P. (2014). Decentralization and governance. World Development, 53, 2-13.</w:t>
      </w:r>
    </w:p>
    <w:p w14:paraId="11771F4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Faguet, J. P., &amp; </w:t>
      </w:r>
      <w:proofErr w:type="spellStart"/>
      <w:r w:rsidRPr="00805829">
        <w:rPr>
          <w:rFonts w:ascii="Arial" w:hAnsi="Arial" w:cs="Arial"/>
          <w:sz w:val="22"/>
          <w:szCs w:val="22"/>
          <w:lang w:val="fr-FR"/>
        </w:rPr>
        <w:t>Pöschl</w:t>
      </w:r>
      <w:proofErr w:type="spellEnd"/>
      <w:r w:rsidRPr="00805829">
        <w:rPr>
          <w:rFonts w:ascii="Arial" w:hAnsi="Arial" w:cs="Arial"/>
          <w:sz w:val="22"/>
          <w:szCs w:val="22"/>
          <w:lang w:val="fr-FR"/>
        </w:rPr>
        <w:t>, C. (</w:t>
      </w:r>
      <w:proofErr w:type="spellStart"/>
      <w:r w:rsidRPr="00805829">
        <w:rPr>
          <w:rFonts w:ascii="Arial" w:hAnsi="Arial" w:cs="Arial"/>
          <w:sz w:val="22"/>
          <w:szCs w:val="22"/>
          <w:lang w:val="fr-FR"/>
        </w:rPr>
        <w:t>Eds</w:t>
      </w:r>
      <w:proofErr w:type="spellEnd"/>
      <w:r w:rsidRPr="00805829">
        <w:rPr>
          <w:rFonts w:ascii="Arial" w:hAnsi="Arial" w:cs="Arial"/>
          <w:sz w:val="22"/>
          <w:szCs w:val="22"/>
          <w:lang w:val="fr-FR"/>
        </w:rPr>
        <w:t xml:space="preserve">.). </w:t>
      </w:r>
      <w:r w:rsidRPr="00805829">
        <w:rPr>
          <w:rFonts w:ascii="Arial" w:hAnsi="Arial" w:cs="Arial"/>
          <w:sz w:val="22"/>
          <w:szCs w:val="22"/>
        </w:rPr>
        <w:t>(2015). Is decentralization good for development? Perspectives from academics and policy makers. Oxford University Press.</w:t>
      </w:r>
    </w:p>
    <w:p w14:paraId="21F7EE5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Falleti, T. G. (2010). Decentralization and subnational politics in Latin America. Cambridge University Press.</w:t>
      </w:r>
    </w:p>
    <w:p w14:paraId="3F7F49A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Ferrera, M. (2018). The European Social Union: how to piece it together. In Social policy in the European Union: state of play 2018 (pp. 17-33). ETUI.</w:t>
      </w:r>
    </w:p>
    <w:p w14:paraId="1138B76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Ferry, M., &amp; McMaster, I. (2013). Cohesion policy and the evolution of regional policy in Central and Eastern Europe. Europe-</w:t>
      </w:r>
      <w:proofErr w:type="spellStart"/>
      <w:r w:rsidRPr="00805829">
        <w:rPr>
          <w:rFonts w:ascii="Arial" w:hAnsi="Arial" w:cs="Arial"/>
          <w:sz w:val="22"/>
          <w:szCs w:val="22"/>
        </w:rPr>
        <w:t>asia</w:t>
      </w:r>
      <w:proofErr w:type="spellEnd"/>
      <w:r w:rsidRPr="00805829">
        <w:rPr>
          <w:rFonts w:ascii="Arial" w:hAnsi="Arial" w:cs="Arial"/>
          <w:sz w:val="22"/>
          <w:szCs w:val="22"/>
        </w:rPr>
        <w:t xml:space="preserve"> studies, 65(8), 1502-1528.</w:t>
      </w:r>
    </w:p>
    <w:p w14:paraId="47DFAA7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Fiorillo, F., Giuranno, M. G., &amp; Sacchi, A. (2021). </w:t>
      </w:r>
      <w:r w:rsidRPr="00805829">
        <w:rPr>
          <w:rFonts w:ascii="Arial" w:hAnsi="Arial" w:cs="Arial"/>
          <w:sz w:val="22"/>
          <w:szCs w:val="22"/>
        </w:rPr>
        <w:t xml:space="preserve">Asymmetric decentralization: distortions and opportunities. Economia </w:t>
      </w:r>
      <w:proofErr w:type="spellStart"/>
      <w:r w:rsidRPr="00805829">
        <w:rPr>
          <w:rFonts w:ascii="Arial" w:hAnsi="Arial" w:cs="Arial"/>
          <w:sz w:val="22"/>
          <w:szCs w:val="22"/>
        </w:rPr>
        <w:t>Politica</w:t>
      </w:r>
      <w:proofErr w:type="spellEnd"/>
      <w:r w:rsidRPr="00805829">
        <w:rPr>
          <w:rFonts w:ascii="Arial" w:hAnsi="Arial" w:cs="Arial"/>
          <w:sz w:val="22"/>
          <w:szCs w:val="22"/>
        </w:rPr>
        <w:t>, 38(2), 625-656.</w:t>
      </w:r>
    </w:p>
    <w:p w14:paraId="6A9AF00A"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lastRenderedPageBreak/>
        <w:t>Follesdal</w:t>
      </w:r>
      <w:proofErr w:type="spellEnd"/>
      <w:r w:rsidRPr="00805829">
        <w:rPr>
          <w:rFonts w:ascii="Arial" w:hAnsi="Arial" w:cs="Arial"/>
          <w:sz w:val="22"/>
          <w:szCs w:val="22"/>
        </w:rPr>
        <w:t>, A. (1998). Subsidiarity. Journal of Political Philosophy, 6(2), 190-218.</w:t>
      </w:r>
    </w:p>
    <w:p w14:paraId="54F7AFE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Fox, J. A. (2015). Social accountability: what does the evidence really </w:t>
      </w:r>
      <w:proofErr w:type="gramStart"/>
      <w:r w:rsidRPr="00805829">
        <w:rPr>
          <w:rFonts w:ascii="Arial" w:hAnsi="Arial" w:cs="Arial"/>
          <w:sz w:val="22"/>
          <w:szCs w:val="22"/>
        </w:rPr>
        <w:t>say?.</w:t>
      </w:r>
      <w:proofErr w:type="gramEnd"/>
      <w:r w:rsidRPr="00805829">
        <w:rPr>
          <w:rFonts w:ascii="Arial" w:hAnsi="Arial" w:cs="Arial"/>
          <w:sz w:val="22"/>
          <w:szCs w:val="22"/>
        </w:rPr>
        <w:t xml:space="preserve"> World development, 72, 346-361.</w:t>
      </w:r>
    </w:p>
    <w:p w14:paraId="3D24564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Friedman, T. L. (2005). The world is flat: A brief history of the twenty-first century. Macmillan.</w:t>
      </w:r>
    </w:p>
    <w:p w14:paraId="360F03C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Gasco-Hernández, M., Gil-García, J. R., &amp; Luna-Reyes, L. F. (2022). </w:t>
      </w:r>
      <w:r w:rsidRPr="00805829">
        <w:rPr>
          <w:rFonts w:ascii="Arial" w:hAnsi="Arial" w:cs="Arial"/>
          <w:sz w:val="22"/>
          <w:szCs w:val="22"/>
        </w:rPr>
        <w:t>Unpacking the role of technology, leadership, governance and collaborative capacities in inter-agency collaborations. Government Information Quarterly, 39(3), 101710.</w:t>
      </w:r>
    </w:p>
    <w:p w14:paraId="79112AF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Glaeser, E. L. (2008). Cities, agglomeration, and spatial equilibrium. OUP Oxford.</w:t>
      </w:r>
    </w:p>
    <w:p w14:paraId="22AACDC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Grillitsch, M., Cobos-Cabral, F., &amp; Horvat, A. (2025). Change Agency and the Capability Approach: Regional Development and Well-Being on the Edge. Economic Geography, in press 1-26.</w:t>
      </w:r>
    </w:p>
    <w:p w14:paraId="0DA52908"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Grillitsch</w:t>
      </w:r>
      <w:proofErr w:type="spellEnd"/>
      <w:r w:rsidRPr="00805829">
        <w:rPr>
          <w:rFonts w:ascii="Arial" w:hAnsi="Arial" w:cs="Arial"/>
          <w:sz w:val="22"/>
          <w:szCs w:val="22"/>
        </w:rPr>
        <w:t xml:space="preserve"> M., Cobos-Cabral F., Horvat A. (2025). Local Agency on the Edge: Regional Development, Human Wellbeing and Social Resilience. Paper in Innovation Studies no. 2025/05, Centre for Innovation Research, Lund University</w:t>
      </w:r>
    </w:p>
    <w:p w14:paraId="1423D44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Guiso, L., Herrera, H., Morelli, M., &amp; Sonno, T. (2017). </w:t>
      </w:r>
      <w:r w:rsidRPr="00805829">
        <w:rPr>
          <w:rFonts w:ascii="Arial" w:hAnsi="Arial" w:cs="Arial"/>
          <w:sz w:val="22"/>
          <w:szCs w:val="22"/>
        </w:rPr>
        <w:t>Demand and supply of populism.</w:t>
      </w:r>
    </w:p>
    <w:p w14:paraId="3D9450E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Hammerschmid, G., </w:t>
      </w:r>
      <w:proofErr w:type="spellStart"/>
      <w:r w:rsidRPr="00805829">
        <w:rPr>
          <w:rFonts w:ascii="Arial" w:hAnsi="Arial" w:cs="Arial"/>
          <w:sz w:val="22"/>
          <w:szCs w:val="22"/>
          <w:lang w:val="de-DE"/>
        </w:rPr>
        <w:t>Palaric</w:t>
      </w:r>
      <w:proofErr w:type="spellEnd"/>
      <w:r w:rsidRPr="00805829">
        <w:rPr>
          <w:rFonts w:ascii="Arial" w:hAnsi="Arial" w:cs="Arial"/>
          <w:sz w:val="22"/>
          <w:szCs w:val="22"/>
          <w:lang w:val="de-DE"/>
        </w:rPr>
        <w:t xml:space="preserve">, E., Rackwitz, M., &amp; </w:t>
      </w:r>
      <w:proofErr w:type="spellStart"/>
      <w:r w:rsidRPr="00805829">
        <w:rPr>
          <w:rFonts w:ascii="Arial" w:hAnsi="Arial" w:cs="Arial"/>
          <w:sz w:val="22"/>
          <w:szCs w:val="22"/>
          <w:lang w:val="de-DE"/>
        </w:rPr>
        <w:t>Wegrich</w:t>
      </w:r>
      <w:proofErr w:type="spellEnd"/>
      <w:r w:rsidRPr="00805829">
        <w:rPr>
          <w:rFonts w:ascii="Arial" w:hAnsi="Arial" w:cs="Arial"/>
          <w:sz w:val="22"/>
          <w:szCs w:val="22"/>
          <w:lang w:val="de-DE"/>
        </w:rPr>
        <w:t xml:space="preserve">, K. (2024). </w:t>
      </w:r>
      <w:r w:rsidRPr="00805829">
        <w:rPr>
          <w:rFonts w:ascii="Arial" w:hAnsi="Arial" w:cs="Arial"/>
          <w:sz w:val="22"/>
          <w:szCs w:val="22"/>
        </w:rPr>
        <w:t>A shift in paradigm? Collaborative public administration in the context of national digitalization strategies. Governance, 37(2), 411-430.</w:t>
      </w:r>
    </w:p>
    <w:p w14:paraId="7DEFCFC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Henkel, Marcel, Tobias Seidel, and Jens Suedekum. 2021. "Fiscal Transfers in the Spatial Economy." American Economic Journal: Economic Policy 13 (4): 433--68.</w:t>
      </w:r>
    </w:p>
    <w:p w14:paraId="74040CA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High, C., &amp; Nemes, G. (2007). Social learning in LEADER: Exogenous, endogenous and hybrid evaluation in rural development. </w:t>
      </w:r>
      <w:proofErr w:type="spellStart"/>
      <w:r w:rsidRPr="00805829">
        <w:rPr>
          <w:rFonts w:ascii="Arial" w:hAnsi="Arial" w:cs="Arial"/>
          <w:sz w:val="22"/>
          <w:szCs w:val="22"/>
        </w:rPr>
        <w:t>Sociologia</w:t>
      </w:r>
      <w:proofErr w:type="spellEnd"/>
      <w:r w:rsidRPr="00805829">
        <w:rPr>
          <w:rFonts w:ascii="Arial" w:hAnsi="Arial" w:cs="Arial"/>
          <w:sz w:val="22"/>
          <w:szCs w:val="22"/>
        </w:rPr>
        <w:t xml:space="preserve"> </w:t>
      </w:r>
      <w:proofErr w:type="spellStart"/>
      <w:r w:rsidRPr="00805829">
        <w:rPr>
          <w:rFonts w:ascii="Arial" w:hAnsi="Arial" w:cs="Arial"/>
          <w:sz w:val="22"/>
          <w:szCs w:val="22"/>
        </w:rPr>
        <w:t>ruralis</w:t>
      </w:r>
      <w:proofErr w:type="spellEnd"/>
      <w:r w:rsidRPr="00805829">
        <w:rPr>
          <w:rFonts w:ascii="Arial" w:hAnsi="Arial" w:cs="Arial"/>
          <w:sz w:val="22"/>
          <w:szCs w:val="22"/>
        </w:rPr>
        <w:t>, 47(2), 103-119.</w:t>
      </w:r>
    </w:p>
    <w:p w14:paraId="5A65E4B1"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L., &amp; Marks, G. (2003). Unraveling the central state, but how? Types of multi-level governance. American Political Science Review, 97(2), 233-243.</w:t>
      </w:r>
    </w:p>
    <w:p w14:paraId="1203308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xml:space="preserve">, L., &amp; Marks, G. (2009). A </w:t>
      </w:r>
      <w:proofErr w:type="spellStart"/>
      <w:r w:rsidRPr="00805829">
        <w:rPr>
          <w:rFonts w:ascii="Arial" w:hAnsi="Arial" w:cs="Arial"/>
          <w:sz w:val="22"/>
          <w:szCs w:val="22"/>
        </w:rPr>
        <w:t>postfunctionalist</w:t>
      </w:r>
      <w:proofErr w:type="spellEnd"/>
      <w:r w:rsidRPr="00805829">
        <w:rPr>
          <w:rFonts w:ascii="Arial" w:hAnsi="Arial" w:cs="Arial"/>
          <w:sz w:val="22"/>
          <w:szCs w:val="22"/>
        </w:rPr>
        <w:t xml:space="preserve"> theory of European integration: From </w:t>
      </w:r>
      <w:proofErr w:type="spellStart"/>
      <w:r w:rsidRPr="00805829">
        <w:rPr>
          <w:rFonts w:ascii="Arial" w:hAnsi="Arial" w:cs="Arial"/>
          <w:sz w:val="22"/>
          <w:szCs w:val="22"/>
        </w:rPr>
        <w:t>PermissiveConsensus</w:t>
      </w:r>
      <w:proofErr w:type="spellEnd"/>
      <w:r w:rsidRPr="00805829">
        <w:rPr>
          <w:rFonts w:ascii="Arial" w:hAnsi="Arial" w:cs="Arial"/>
          <w:sz w:val="22"/>
          <w:szCs w:val="22"/>
        </w:rPr>
        <w:t xml:space="preserve"> to constraining dissensus. British journal of political science, 39(1), 1-23.</w:t>
      </w:r>
    </w:p>
    <w:p w14:paraId="1F6A20F6"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Hooghe</w:t>
      </w:r>
      <w:proofErr w:type="spellEnd"/>
      <w:r w:rsidRPr="00805829">
        <w:rPr>
          <w:rFonts w:ascii="Arial" w:hAnsi="Arial" w:cs="Arial"/>
          <w:sz w:val="22"/>
          <w:szCs w:val="22"/>
        </w:rPr>
        <w:t xml:space="preserve">, L., Marks, G., Schakel, A. H., </w:t>
      </w:r>
      <w:proofErr w:type="spellStart"/>
      <w:r w:rsidRPr="00805829">
        <w:rPr>
          <w:rFonts w:ascii="Arial" w:hAnsi="Arial" w:cs="Arial"/>
          <w:sz w:val="22"/>
          <w:szCs w:val="22"/>
        </w:rPr>
        <w:t>Osterkatz</w:t>
      </w:r>
      <w:proofErr w:type="spellEnd"/>
      <w:r w:rsidRPr="00805829">
        <w:rPr>
          <w:rFonts w:ascii="Arial" w:hAnsi="Arial" w:cs="Arial"/>
          <w:sz w:val="22"/>
          <w:szCs w:val="22"/>
        </w:rPr>
        <w:t xml:space="preserve">, S. C., Niedzwiecki, S., &amp; Shair-Rosenfield, S. (2016). Measuring regional authority: A </w:t>
      </w:r>
      <w:proofErr w:type="spellStart"/>
      <w:r w:rsidRPr="00805829">
        <w:rPr>
          <w:rFonts w:ascii="Arial" w:hAnsi="Arial" w:cs="Arial"/>
          <w:sz w:val="22"/>
          <w:szCs w:val="22"/>
        </w:rPr>
        <w:t>postfunctionalist</w:t>
      </w:r>
      <w:proofErr w:type="spellEnd"/>
      <w:r w:rsidRPr="00805829">
        <w:rPr>
          <w:rFonts w:ascii="Arial" w:hAnsi="Arial" w:cs="Arial"/>
          <w:sz w:val="22"/>
          <w:szCs w:val="22"/>
        </w:rPr>
        <w:t xml:space="preserve"> theory of governance, Volume I. Oxford University Press.</w:t>
      </w:r>
    </w:p>
    <w:p w14:paraId="457F366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Hutter, S., Kriesi, H., &amp; Vidal, G. (2018). </w:t>
      </w:r>
      <w:r w:rsidRPr="00805829">
        <w:rPr>
          <w:rFonts w:ascii="Arial" w:hAnsi="Arial" w:cs="Arial"/>
          <w:sz w:val="22"/>
          <w:szCs w:val="22"/>
        </w:rPr>
        <w:t>Old versus new politics: The political spaces in Southern Europe in times of crises. Party Politics, 24(1), 10-22.</w:t>
      </w:r>
    </w:p>
    <w:p w14:paraId="3C56569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I4CE -- Institute for Climate Economics (2021). </w:t>
      </w:r>
      <w:r w:rsidRPr="00805829">
        <w:rPr>
          <w:rFonts w:ascii="Arial" w:hAnsi="Arial" w:cs="Arial"/>
          <w:sz w:val="22"/>
          <w:szCs w:val="22"/>
          <w:lang w:val="fr-FR"/>
        </w:rPr>
        <w:t xml:space="preserve">Décryptage des projets de Contrats de Plan État-Régions 2021--2027. </w:t>
      </w:r>
      <w:r w:rsidRPr="00805829">
        <w:rPr>
          <w:rFonts w:ascii="Arial" w:hAnsi="Arial" w:cs="Arial"/>
          <w:sz w:val="22"/>
          <w:szCs w:val="22"/>
        </w:rPr>
        <w:t>Paris: I4CE. Available at: &lt;https://www.i4ce.org/publication/decryptage-des-projets-de-contrats-de-plan-etat-regions-2021-2027/&gt;</w:t>
      </w:r>
    </w:p>
    <w:p w14:paraId="5743FA6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Iammarino, S., Rodríguez-Pose, A., &amp; Storper, M. (2019). </w:t>
      </w:r>
      <w:r w:rsidRPr="00805829">
        <w:rPr>
          <w:rFonts w:ascii="Arial" w:hAnsi="Arial" w:cs="Arial"/>
          <w:sz w:val="22"/>
          <w:szCs w:val="22"/>
        </w:rPr>
        <w:t>Regional inequality in Europe: evidence, theory and policy implications. Journal of economic geography, 19(2), 273-298.</w:t>
      </w:r>
    </w:p>
    <w:p w14:paraId="65E91ED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Idczak, P., </w:t>
      </w:r>
      <w:proofErr w:type="spellStart"/>
      <w:r w:rsidRPr="00805829">
        <w:rPr>
          <w:rFonts w:ascii="Arial" w:hAnsi="Arial" w:cs="Arial"/>
          <w:sz w:val="22"/>
          <w:szCs w:val="22"/>
        </w:rPr>
        <w:t>Musiałkowska</w:t>
      </w:r>
      <w:proofErr w:type="spellEnd"/>
      <w:r w:rsidRPr="00805829">
        <w:rPr>
          <w:rFonts w:ascii="Arial" w:hAnsi="Arial" w:cs="Arial"/>
          <w:sz w:val="22"/>
          <w:szCs w:val="22"/>
        </w:rPr>
        <w:t xml:space="preserve">, I., &amp; Kociuba, D. (2024). The origins of the EU Cohesion Policy: From regional economic development to the place-based approach. In EU </w:t>
      </w:r>
      <w:proofErr w:type="spellStart"/>
      <w:r w:rsidRPr="00805829">
        <w:rPr>
          <w:rFonts w:ascii="Arial" w:hAnsi="Arial" w:cs="Arial"/>
          <w:sz w:val="22"/>
          <w:szCs w:val="22"/>
        </w:rPr>
        <w:t>Cohesión</w:t>
      </w:r>
      <w:proofErr w:type="spellEnd"/>
      <w:r w:rsidRPr="00805829">
        <w:rPr>
          <w:rFonts w:ascii="Arial" w:hAnsi="Arial" w:cs="Arial"/>
          <w:sz w:val="22"/>
          <w:szCs w:val="22"/>
        </w:rPr>
        <w:t xml:space="preserve"> Policy (pp. 10-29). Edward Elgar Publishing.</w:t>
      </w:r>
    </w:p>
    <w:p w14:paraId="3B50585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 xml:space="preserve">IEP. (2025). Coordinating International Public and Private Donors in Ukraine's Reconstruction and Regional Development. </w:t>
      </w:r>
      <w:proofErr w:type="spellStart"/>
      <w:r w:rsidRPr="00805829">
        <w:rPr>
          <w:rFonts w:ascii="Arial" w:hAnsi="Arial" w:cs="Arial"/>
          <w:sz w:val="22"/>
          <w:szCs w:val="22"/>
        </w:rPr>
        <w:t>Institut</w:t>
      </w:r>
      <w:proofErr w:type="spellEnd"/>
      <w:r w:rsidRPr="00805829">
        <w:rPr>
          <w:rFonts w:ascii="Arial" w:hAnsi="Arial" w:cs="Arial"/>
          <w:sz w:val="22"/>
          <w:szCs w:val="22"/>
        </w:rPr>
        <w:t xml:space="preserve"> fur </w:t>
      </w:r>
      <w:proofErr w:type="spellStart"/>
      <w:r w:rsidRPr="00805829">
        <w:rPr>
          <w:rFonts w:ascii="Arial" w:hAnsi="Arial" w:cs="Arial"/>
          <w:sz w:val="22"/>
          <w:szCs w:val="22"/>
        </w:rPr>
        <w:t>Europaische</w:t>
      </w:r>
      <w:proofErr w:type="spellEnd"/>
      <w:r w:rsidRPr="00805829">
        <w:rPr>
          <w:rFonts w:ascii="Arial" w:hAnsi="Arial" w:cs="Arial"/>
          <w:sz w:val="22"/>
          <w:szCs w:val="22"/>
        </w:rPr>
        <w:t xml:space="preserve"> Politik.</w:t>
      </w:r>
    </w:p>
    <w:p w14:paraId="145A240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IOM (International Organization for Migration). (2025). DTM Ukraine --- Internal Displacement Report --- General Population Survey Round 21. October 2025. &lt;https://dtm.iom.int/reports/ukraine-internal-displacement-report-general-population-survey-round-21-october-2025&gt;</w:t>
      </w:r>
    </w:p>
    <w:p w14:paraId="6125D8C4"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Kapucu</w:t>
      </w:r>
      <w:proofErr w:type="spellEnd"/>
      <w:r w:rsidRPr="00805829">
        <w:rPr>
          <w:rFonts w:ascii="Arial" w:hAnsi="Arial" w:cs="Arial"/>
          <w:sz w:val="22"/>
          <w:szCs w:val="22"/>
        </w:rPr>
        <w:t>, N., Parkin, A., Lumb, M., &amp; Dippy, R. (2024). Crisis coordination in complex intergovernmental systems: The case of Australia. Public Administration Review, 84(3), 389-399.</w:t>
      </w:r>
    </w:p>
    <w:p w14:paraId="03F9D3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Keating, M. (2021). Beyond the nation-state: Territory, solidarity and welfare in a </w:t>
      </w:r>
      <w:proofErr w:type="spellStart"/>
      <w:r w:rsidRPr="00805829">
        <w:rPr>
          <w:rFonts w:ascii="Arial" w:hAnsi="Arial" w:cs="Arial"/>
          <w:sz w:val="22"/>
          <w:szCs w:val="22"/>
        </w:rPr>
        <w:t>multiscalar</w:t>
      </w:r>
      <w:proofErr w:type="spellEnd"/>
      <w:r w:rsidRPr="00805829">
        <w:rPr>
          <w:rFonts w:ascii="Arial" w:hAnsi="Arial" w:cs="Arial"/>
          <w:sz w:val="22"/>
          <w:szCs w:val="22"/>
        </w:rPr>
        <w:t xml:space="preserve"> Europe. Territory, Politics, Governance, 9(3), 331-345.</w:t>
      </w:r>
    </w:p>
    <w:p w14:paraId="2231294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Kennedy, J., Ashmore, J., </w:t>
      </w:r>
      <w:proofErr w:type="spellStart"/>
      <w:r w:rsidRPr="00805829">
        <w:rPr>
          <w:rFonts w:ascii="Arial" w:hAnsi="Arial" w:cs="Arial"/>
          <w:sz w:val="22"/>
          <w:szCs w:val="22"/>
        </w:rPr>
        <w:t>Babister</w:t>
      </w:r>
      <w:proofErr w:type="spellEnd"/>
      <w:r w:rsidRPr="00805829">
        <w:rPr>
          <w:rFonts w:ascii="Arial" w:hAnsi="Arial" w:cs="Arial"/>
          <w:sz w:val="22"/>
          <w:szCs w:val="22"/>
        </w:rPr>
        <w:t>, E., &amp; Kelman, I. (2008). The meaning of '</w:t>
      </w:r>
      <w:proofErr w:type="gramStart"/>
      <w:r w:rsidRPr="00805829">
        <w:rPr>
          <w:rFonts w:ascii="Arial" w:hAnsi="Arial" w:cs="Arial"/>
          <w:sz w:val="22"/>
          <w:szCs w:val="22"/>
        </w:rPr>
        <w:t>build</w:t>
      </w:r>
      <w:proofErr w:type="gramEnd"/>
      <w:r w:rsidRPr="00805829">
        <w:rPr>
          <w:rFonts w:ascii="Arial" w:hAnsi="Arial" w:cs="Arial"/>
          <w:sz w:val="22"/>
          <w:szCs w:val="22"/>
        </w:rPr>
        <w:t xml:space="preserve"> back better': evidence from post</w:t>
      </w:r>
      <w:r w:rsidRPr="00805829">
        <w:rPr>
          <w:rFonts w:ascii="Cambria Math" w:hAnsi="Cambria Math" w:cs="Cambria Math"/>
          <w:sz w:val="22"/>
          <w:szCs w:val="22"/>
        </w:rPr>
        <w:t>‐</w:t>
      </w:r>
      <w:r w:rsidRPr="00805829">
        <w:rPr>
          <w:rFonts w:ascii="Arial" w:hAnsi="Arial" w:cs="Arial"/>
          <w:sz w:val="22"/>
          <w:szCs w:val="22"/>
        </w:rPr>
        <w:t>tsunami Aceh and Sri Lanka. Journal of contingencies and crisis management, 16(1), 24-36.</w:t>
      </w:r>
    </w:p>
    <w:p w14:paraId="530A895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Ketels, C., &amp; </w:t>
      </w:r>
      <w:proofErr w:type="spellStart"/>
      <w:r w:rsidRPr="00805829">
        <w:rPr>
          <w:rFonts w:ascii="Arial" w:hAnsi="Arial" w:cs="Arial"/>
          <w:sz w:val="22"/>
          <w:szCs w:val="22"/>
        </w:rPr>
        <w:t>Protsiv</w:t>
      </w:r>
      <w:proofErr w:type="spellEnd"/>
      <w:r w:rsidRPr="00805829">
        <w:rPr>
          <w:rFonts w:ascii="Arial" w:hAnsi="Arial" w:cs="Arial"/>
          <w:sz w:val="22"/>
          <w:szCs w:val="22"/>
        </w:rPr>
        <w:t>, S. (2016). European cluster panorama 2014. Stockholm: Center for Strategy and Competitiveness.</w:t>
      </w:r>
    </w:p>
    <w:p w14:paraId="564315E2"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Keudel</w:t>
      </w:r>
      <w:proofErr w:type="spellEnd"/>
      <w:r w:rsidRPr="00805829">
        <w:rPr>
          <w:rFonts w:ascii="Arial" w:hAnsi="Arial" w:cs="Arial"/>
          <w:sz w:val="22"/>
          <w:szCs w:val="22"/>
        </w:rPr>
        <w:t>, O., &amp; Myerson, R. (2024). Supporting Ukraine's Democracy Bottom-Up: Proposed Mechanism for a Decentered but Coordinated Donor Assistance to Ukraine's Recovery. Friedrich Ebert Stiftung.</w:t>
      </w:r>
    </w:p>
    <w:p w14:paraId="66AB6C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Kim, P. S. (2016). Innovating training and development in government: The case of South Korea. Sharpening the Sword of State: Building executive capacities in the public services of the Asia-Pacific, 125-140.</w:t>
      </w:r>
    </w:p>
    <w:p w14:paraId="595CE63E"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Kinossian</w:t>
      </w:r>
      <w:proofErr w:type="spellEnd"/>
      <w:r w:rsidRPr="00805829">
        <w:rPr>
          <w:rFonts w:ascii="Arial" w:hAnsi="Arial" w:cs="Arial"/>
          <w:sz w:val="22"/>
          <w:szCs w:val="22"/>
        </w:rPr>
        <w:t>, N. (2018). Planning strategies and practices in non-core regions: A critical response. European Planning Studies, 26(2), 365-375.</w:t>
      </w:r>
    </w:p>
    <w:p w14:paraId="5BF9C93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Kornai, J., Maskin, E., &amp; Roland, G. (2003). </w:t>
      </w:r>
      <w:r w:rsidRPr="00805829">
        <w:rPr>
          <w:rFonts w:ascii="Arial" w:hAnsi="Arial" w:cs="Arial"/>
          <w:sz w:val="22"/>
          <w:szCs w:val="22"/>
        </w:rPr>
        <w:t>Understanding the soft budget constraint. Journal of Economic Literature, 41(4), 1095-1136.</w:t>
      </w:r>
    </w:p>
    <w:p w14:paraId="18A9240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Krawchenko, T. (2023, December). 8. Ukraine's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Reforms and the Path to Reconstruction, Recovery and European Integration. In Ukraine (p. 163).</w:t>
      </w:r>
    </w:p>
    <w:p w14:paraId="2BD7698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Kroll, H. (2015). Efforts to implement smart specialization in practice---leading unlike horses to the water. European Planning Studies, 23(10), 2079-2098.</w:t>
      </w:r>
    </w:p>
    <w:p w14:paraId="01F8ED4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KSE Institute. (2025). Macroeconomic Handbook for Ukraine. KSA Institute.</w:t>
      </w:r>
    </w:p>
    <w:p w14:paraId="45B2EF2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Kübler, D. (2005). Metropolitan Governance Capacity, Democracy and the Dynamics of Place, Metropolitan Governance: Capacity, Democracy and the Dynamics of Place, Hubert Heinelt </w:t>
      </w:r>
      <w:proofErr w:type="spellStart"/>
      <w:r w:rsidRPr="00805829">
        <w:rPr>
          <w:rFonts w:ascii="Arial" w:hAnsi="Arial" w:cs="Arial"/>
          <w:sz w:val="22"/>
          <w:szCs w:val="22"/>
        </w:rPr>
        <w:t>ve</w:t>
      </w:r>
      <w:proofErr w:type="spellEnd"/>
      <w:r w:rsidRPr="00805829">
        <w:rPr>
          <w:rFonts w:ascii="Arial" w:hAnsi="Arial" w:cs="Arial"/>
          <w:sz w:val="22"/>
          <w:szCs w:val="22"/>
        </w:rPr>
        <w:t xml:space="preserve"> Daniel Kübler.</w:t>
      </w:r>
    </w:p>
    <w:p w14:paraId="7C8E179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Kühn, M. (2015). Peripheralization: Theoretical concepts explaining socio-spatial inequalities. European Planning Studies, 23(2), 367-378.</w:t>
      </w:r>
    </w:p>
    <w:p w14:paraId="722B097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Leroy, M. (2017). Les contrats de plan État-Régions en </w:t>
      </w:r>
      <w:proofErr w:type="gramStart"/>
      <w:r w:rsidRPr="00805829">
        <w:rPr>
          <w:rFonts w:ascii="Arial" w:hAnsi="Arial" w:cs="Arial"/>
          <w:sz w:val="22"/>
          <w:szCs w:val="22"/>
          <w:lang w:val="fr-FR"/>
        </w:rPr>
        <w:t>France:</w:t>
      </w:r>
      <w:proofErr w:type="gramEnd"/>
      <w:r w:rsidRPr="00805829">
        <w:rPr>
          <w:rFonts w:ascii="Arial" w:hAnsi="Arial" w:cs="Arial"/>
          <w:sz w:val="22"/>
          <w:szCs w:val="22"/>
          <w:lang w:val="fr-FR"/>
        </w:rPr>
        <w:t xml:space="preserve"> quelles leçons pour le développement des territoires. </w:t>
      </w:r>
      <w:r w:rsidRPr="00805829">
        <w:rPr>
          <w:rFonts w:ascii="Arial" w:hAnsi="Arial" w:cs="Arial"/>
          <w:sz w:val="22"/>
          <w:szCs w:val="22"/>
        </w:rPr>
        <w:t xml:space="preserve">Gestion &amp; finances </w:t>
      </w:r>
      <w:proofErr w:type="spellStart"/>
      <w:r w:rsidRPr="00805829">
        <w:rPr>
          <w:rFonts w:ascii="Arial" w:hAnsi="Arial" w:cs="Arial"/>
          <w:sz w:val="22"/>
          <w:szCs w:val="22"/>
        </w:rPr>
        <w:t>publiques</w:t>
      </w:r>
      <w:proofErr w:type="spellEnd"/>
      <w:r w:rsidRPr="00805829">
        <w:rPr>
          <w:rFonts w:ascii="Arial" w:hAnsi="Arial" w:cs="Arial"/>
          <w:sz w:val="22"/>
          <w:szCs w:val="22"/>
        </w:rPr>
        <w:t>, 6(6), 13-24.</w:t>
      </w:r>
    </w:p>
    <w:p w14:paraId="7815FFF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León, S. (2014). How does decentralization affect electoral competition of state-wide parties? Evidence from Spain. Party Politics, 20(3), 391-402.</w:t>
      </w:r>
    </w:p>
    <w:p w14:paraId="7F090DA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Lipps, J., &amp; Schraff, D. (2021). Regional inequality and institutional trust in Europe. European Journal of Political Research, 60(4), 892-913.</w:t>
      </w:r>
    </w:p>
    <w:p w14:paraId="195CB92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Molander, P. (Ed.). (2012). Fiscal federalism in unitary states (Vol. 6). Springer Science &amp; Business Media.</w:t>
      </w:r>
    </w:p>
    <w:p w14:paraId="1538A52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Moldovan, B. C. (2022). Poland--model of regional development in Central and Eastern Europe. Annals of the University of Oradea, Economic Science Series, 31(1), 222-232.</w:t>
      </w:r>
    </w:p>
    <w:p w14:paraId="3925812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Mykhnenko, V. (2020). Causes and consequences of the war in Eastern Ukraine: an economic geography perspective. Europe-Asia Studies, 72(3), 528-560.</w:t>
      </w:r>
    </w:p>
    <w:p w14:paraId="6ED935F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Norris, P. (2011). Democratic deficit: Critical citizens revisited. Cambridge University Press.</w:t>
      </w:r>
    </w:p>
    <w:p w14:paraId="1DF7714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Oates, W. E. (1999). An essay on fiscal federalism. Journal of Economic Literature, 37(3), 1120-1149.</w:t>
      </w:r>
    </w:p>
    <w:p w14:paraId="38C0E3F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(2016). Regions </w:t>
      </w:r>
      <w:proofErr w:type="gramStart"/>
      <w:r w:rsidRPr="00805829">
        <w:rPr>
          <w:rFonts w:ascii="Arial" w:hAnsi="Arial" w:cs="Arial"/>
          <w:sz w:val="22"/>
          <w:szCs w:val="22"/>
        </w:rPr>
        <w:t>at a glance</w:t>
      </w:r>
      <w:proofErr w:type="gramEnd"/>
      <w:r w:rsidRPr="00805829">
        <w:rPr>
          <w:rFonts w:ascii="Arial" w:hAnsi="Arial" w:cs="Arial"/>
          <w:sz w:val="22"/>
          <w:szCs w:val="22"/>
        </w:rPr>
        <w:t xml:space="preserve"> 2016. Paris: OECD Publishing.</w:t>
      </w:r>
    </w:p>
    <w:p w14:paraId="5AF75A2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(2020), "Broad-based Innovation Policy for All Regions and Cities". Paris: OECD.</w:t>
      </w:r>
    </w:p>
    <w:p w14:paraId="5E4A133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(2009). How regions grow: Trends and analysis. OECD Publishing.</w:t>
      </w:r>
    </w:p>
    <w:p w14:paraId="5AD0BDC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(2016). OECD territorial reviews: France 2016. OECD Publishing.</w:t>
      </w:r>
    </w:p>
    <w:p w14:paraId="150EA65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(2018). Maintaining the momentum of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in Ukraine. OECD Multi-level Governance Studies, OECD Publishing</w:t>
      </w:r>
    </w:p>
    <w:p w14:paraId="6E0F050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(2019). Making </w:t>
      </w:r>
      <w:proofErr w:type="spellStart"/>
      <w:r w:rsidRPr="00805829">
        <w:rPr>
          <w:rFonts w:ascii="Arial" w:hAnsi="Arial" w:cs="Arial"/>
          <w:sz w:val="22"/>
          <w:szCs w:val="22"/>
        </w:rPr>
        <w:t>Decentralisation</w:t>
      </w:r>
      <w:proofErr w:type="spellEnd"/>
      <w:r w:rsidRPr="00805829">
        <w:rPr>
          <w:rFonts w:ascii="Arial" w:hAnsi="Arial" w:cs="Arial"/>
          <w:sz w:val="22"/>
          <w:szCs w:val="22"/>
        </w:rPr>
        <w:t xml:space="preserve"> Work: A Handbook for Policy-Makers. OECD Publishing.</w:t>
      </w:r>
    </w:p>
    <w:p w14:paraId="5141DA8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(2020). Innovative Citizen Participation and New Democratic Institutions: Catching the Deliberative Wave. Paris: OECD.</w:t>
      </w:r>
    </w:p>
    <w:p w14:paraId="666A45C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(2022). Rebuilding Ukraine by Reinforcing Regional and Municipal Governance. OECD Publishing</w:t>
      </w:r>
    </w:p>
    <w:p w14:paraId="160425C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OECD. (2022). Rebuilding Ukraine by Reinforcing Regional and Municipal Governance. Paris: OECD.</w:t>
      </w:r>
    </w:p>
    <w:p w14:paraId="382B3E5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OECD. (2024). Steering from the </w:t>
      </w:r>
      <w:proofErr w:type="spellStart"/>
      <w:r w:rsidRPr="00805829">
        <w:rPr>
          <w:rFonts w:ascii="Arial" w:hAnsi="Arial" w:cs="Arial"/>
          <w:sz w:val="22"/>
          <w:szCs w:val="22"/>
        </w:rPr>
        <w:t>centre</w:t>
      </w:r>
      <w:proofErr w:type="spellEnd"/>
      <w:r w:rsidRPr="00805829">
        <w:rPr>
          <w:rFonts w:ascii="Arial" w:hAnsi="Arial" w:cs="Arial"/>
          <w:sz w:val="22"/>
          <w:szCs w:val="22"/>
        </w:rPr>
        <w:t xml:space="preserve"> of government in times of complexity. OECD Publishing.</w:t>
      </w:r>
    </w:p>
    <w:p w14:paraId="6E03FFD3"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Oppido</w:t>
      </w:r>
      <w:proofErr w:type="spellEnd"/>
      <w:r w:rsidRPr="00805829">
        <w:rPr>
          <w:rFonts w:ascii="Arial" w:hAnsi="Arial" w:cs="Arial"/>
          <w:sz w:val="22"/>
          <w:szCs w:val="22"/>
          <w:lang w:val="es-ES"/>
        </w:rPr>
        <w:t xml:space="preserve">, S., </w:t>
      </w:r>
      <w:proofErr w:type="spellStart"/>
      <w:r w:rsidRPr="00805829">
        <w:rPr>
          <w:rFonts w:ascii="Arial" w:hAnsi="Arial" w:cs="Arial"/>
          <w:sz w:val="22"/>
          <w:szCs w:val="22"/>
          <w:lang w:val="es-ES"/>
        </w:rPr>
        <w:t>Ragozino</w:t>
      </w:r>
      <w:proofErr w:type="spellEnd"/>
      <w:r w:rsidRPr="00805829">
        <w:rPr>
          <w:rFonts w:ascii="Arial" w:hAnsi="Arial" w:cs="Arial"/>
          <w:sz w:val="22"/>
          <w:szCs w:val="22"/>
          <w:lang w:val="es-ES"/>
        </w:rPr>
        <w:t xml:space="preserve">, S., &amp; Esposito De Vita, G. (2023). </w:t>
      </w:r>
      <w:r w:rsidRPr="00805829">
        <w:rPr>
          <w:rFonts w:ascii="Arial" w:hAnsi="Arial" w:cs="Arial"/>
          <w:sz w:val="22"/>
          <w:szCs w:val="22"/>
        </w:rPr>
        <w:t>Peripheral, Marginal, or Non-Core Areas? Setting the Context to Deal with Territorial Inequalities through a Systematic Literature Review. Sustainability, 15(13), 10401.</w:t>
      </w:r>
    </w:p>
    <w:p w14:paraId="2A7A288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Palermo, F., &amp; Wilson, A. (2014). The multi-level dynamics of state decentralization in Italy. Comparative European Politics, 12(4), 510-530.</w:t>
      </w:r>
    </w:p>
    <w:p w14:paraId="2B71AC05"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fr-FR"/>
        </w:rPr>
        <w:t>Paliokaitė</w:t>
      </w:r>
      <w:proofErr w:type="spellEnd"/>
      <w:r w:rsidRPr="00805829">
        <w:rPr>
          <w:rFonts w:ascii="Arial" w:hAnsi="Arial" w:cs="Arial"/>
          <w:sz w:val="22"/>
          <w:szCs w:val="22"/>
          <w:lang w:val="fr-FR"/>
        </w:rPr>
        <w:t xml:space="preserve">, A., </w:t>
      </w:r>
      <w:proofErr w:type="spellStart"/>
      <w:r w:rsidRPr="00805829">
        <w:rPr>
          <w:rFonts w:ascii="Arial" w:hAnsi="Arial" w:cs="Arial"/>
          <w:sz w:val="22"/>
          <w:szCs w:val="22"/>
          <w:lang w:val="fr-FR"/>
        </w:rPr>
        <w:t>Martinaitis</w:t>
      </w:r>
      <w:proofErr w:type="spellEnd"/>
      <w:r w:rsidRPr="00805829">
        <w:rPr>
          <w:rFonts w:ascii="Arial" w:hAnsi="Arial" w:cs="Arial"/>
          <w:sz w:val="22"/>
          <w:szCs w:val="22"/>
          <w:lang w:val="fr-FR"/>
        </w:rPr>
        <w:t xml:space="preserve">, Ž., &amp; </w:t>
      </w:r>
      <w:proofErr w:type="spellStart"/>
      <w:r w:rsidRPr="00805829">
        <w:rPr>
          <w:rFonts w:ascii="Arial" w:hAnsi="Arial" w:cs="Arial"/>
          <w:sz w:val="22"/>
          <w:szCs w:val="22"/>
          <w:lang w:val="fr-FR"/>
        </w:rPr>
        <w:t>Reimeris</w:t>
      </w:r>
      <w:proofErr w:type="spellEnd"/>
      <w:r w:rsidRPr="00805829">
        <w:rPr>
          <w:rFonts w:ascii="Arial" w:hAnsi="Arial" w:cs="Arial"/>
          <w:sz w:val="22"/>
          <w:szCs w:val="22"/>
          <w:lang w:val="fr-FR"/>
        </w:rPr>
        <w:t xml:space="preserve">, R. (2015). </w:t>
      </w:r>
      <w:r w:rsidRPr="00805829">
        <w:rPr>
          <w:rFonts w:ascii="Arial" w:hAnsi="Arial" w:cs="Arial"/>
          <w:sz w:val="22"/>
          <w:szCs w:val="22"/>
        </w:rPr>
        <w:t xml:space="preserve">Foresight methods for smart </w:t>
      </w:r>
      <w:proofErr w:type="spellStart"/>
      <w:r w:rsidRPr="00805829">
        <w:rPr>
          <w:rFonts w:ascii="Arial" w:hAnsi="Arial" w:cs="Arial"/>
          <w:sz w:val="22"/>
          <w:szCs w:val="22"/>
        </w:rPr>
        <w:t>specialisation</w:t>
      </w:r>
      <w:proofErr w:type="spellEnd"/>
      <w:r w:rsidRPr="00805829">
        <w:rPr>
          <w:rFonts w:ascii="Arial" w:hAnsi="Arial" w:cs="Arial"/>
          <w:sz w:val="22"/>
          <w:szCs w:val="22"/>
        </w:rPr>
        <w:t xml:space="preserve"> strategy development in Lithuania. Technological Forecasting and Social Change, 101, 185-199.</w:t>
      </w:r>
    </w:p>
    <w:p w14:paraId="42E101A6" w14:textId="77777777" w:rsidR="00501F4B" w:rsidRPr="00805829" w:rsidRDefault="00000000" w:rsidP="00DF2109">
      <w:pPr>
        <w:pStyle w:val="ListParagraph"/>
        <w:numPr>
          <w:ilvl w:val="0"/>
          <w:numId w:val="1"/>
        </w:numPr>
        <w:spacing w:after="120"/>
        <w:jc w:val="both"/>
        <w:rPr>
          <w:rFonts w:ascii="Arial" w:hAnsi="Arial" w:cs="Arial"/>
          <w:sz w:val="22"/>
          <w:szCs w:val="22"/>
          <w:lang w:val="fr-FR"/>
        </w:rPr>
      </w:pPr>
      <w:r w:rsidRPr="00805829">
        <w:rPr>
          <w:rFonts w:ascii="Arial" w:hAnsi="Arial" w:cs="Arial"/>
          <w:sz w:val="22"/>
          <w:szCs w:val="22"/>
          <w:lang w:val="fr-FR"/>
        </w:rPr>
        <w:t>Pasquier, R., Guigner, S., &amp; Cole, A. (2020). Dictionnaire des politiques territoriales. Presses de Sciences Po.</w:t>
      </w:r>
    </w:p>
    <w:p w14:paraId="4D09223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Perkmann, M. (2003). Cross-border regions in Europe: Significance and drivers of regional cross-border co-operation. European Urban and regional studies, 10(2), 153-171.</w:t>
      </w:r>
    </w:p>
    <w:p w14:paraId="727324F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Phillips, L. (2018). Improving the performance of sub-national governments through benchmarking and performance reporting. Paris: OECD</w:t>
      </w:r>
    </w:p>
    <w:p w14:paraId="465E41BE"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lastRenderedPageBreak/>
        <w:t>Piattoni</w:t>
      </w:r>
      <w:proofErr w:type="spellEnd"/>
      <w:r w:rsidRPr="00805829">
        <w:rPr>
          <w:rFonts w:ascii="Arial" w:hAnsi="Arial" w:cs="Arial"/>
          <w:sz w:val="22"/>
          <w:szCs w:val="22"/>
        </w:rPr>
        <w:t>, S. (2010). The theory of multi-level governance: Conceptual, empirical, and normative challenges. Oxford University Press.</w:t>
      </w:r>
    </w:p>
    <w:p w14:paraId="290CF56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Pike, A., Dawley, S., &amp; </w:t>
      </w:r>
      <w:proofErr w:type="spellStart"/>
      <w:r w:rsidRPr="00805829">
        <w:rPr>
          <w:rFonts w:ascii="Arial" w:hAnsi="Arial" w:cs="Arial"/>
          <w:sz w:val="22"/>
          <w:szCs w:val="22"/>
        </w:rPr>
        <w:t>Tomaney</w:t>
      </w:r>
      <w:proofErr w:type="spellEnd"/>
      <w:r w:rsidRPr="00805829">
        <w:rPr>
          <w:rFonts w:ascii="Arial" w:hAnsi="Arial" w:cs="Arial"/>
          <w:sz w:val="22"/>
          <w:szCs w:val="22"/>
        </w:rPr>
        <w:t>, J. (2010). Resilience, adaptation and adaptability. Cambridge Journal of Regions, Economy and Society, 3(3), 59-70.</w:t>
      </w:r>
    </w:p>
    <w:p w14:paraId="712F7962"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Pike, A., Rodríguez-Pose, A., &amp; </w:t>
      </w:r>
      <w:proofErr w:type="spellStart"/>
      <w:r w:rsidRPr="00805829">
        <w:rPr>
          <w:rFonts w:ascii="Arial" w:hAnsi="Arial" w:cs="Arial"/>
          <w:sz w:val="22"/>
          <w:szCs w:val="22"/>
          <w:lang w:val="es-ES"/>
        </w:rPr>
        <w:t>Tomaney</w:t>
      </w:r>
      <w:proofErr w:type="spellEnd"/>
      <w:r w:rsidRPr="00805829">
        <w:rPr>
          <w:rFonts w:ascii="Arial" w:hAnsi="Arial" w:cs="Arial"/>
          <w:sz w:val="22"/>
          <w:szCs w:val="22"/>
          <w:lang w:val="es-ES"/>
        </w:rPr>
        <w:t xml:space="preserve">, J. (2017). </w:t>
      </w:r>
      <w:r w:rsidRPr="00805829">
        <w:rPr>
          <w:rFonts w:ascii="Arial" w:hAnsi="Arial" w:cs="Arial"/>
          <w:sz w:val="22"/>
          <w:szCs w:val="22"/>
        </w:rPr>
        <w:t>Local and regional development (2nd ed.). Routledge</w:t>
      </w:r>
    </w:p>
    <w:p w14:paraId="4550A64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Putnam, R. D., </w:t>
      </w:r>
      <w:proofErr w:type="spellStart"/>
      <w:r w:rsidRPr="00805829">
        <w:rPr>
          <w:rFonts w:ascii="Arial" w:hAnsi="Arial" w:cs="Arial"/>
          <w:sz w:val="22"/>
          <w:szCs w:val="22"/>
        </w:rPr>
        <w:t>Nanetti</w:t>
      </w:r>
      <w:proofErr w:type="spellEnd"/>
      <w:r w:rsidRPr="00805829">
        <w:rPr>
          <w:rFonts w:ascii="Arial" w:hAnsi="Arial" w:cs="Arial"/>
          <w:sz w:val="22"/>
          <w:szCs w:val="22"/>
        </w:rPr>
        <w:t>, R. Y., &amp; Leonardi, R. (1994). Making democracy work: Civic traditions in modern Italy.</w:t>
      </w:r>
    </w:p>
    <w:p w14:paraId="4208C1FF"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Rabinovych</w:t>
      </w:r>
      <w:proofErr w:type="spellEnd"/>
      <w:r w:rsidRPr="00805829">
        <w:rPr>
          <w:rFonts w:ascii="Arial" w:hAnsi="Arial" w:cs="Arial"/>
          <w:sz w:val="22"/>
          <w:szCs w:val="22"/>
        </w:rPr>
        <w:t xml:space="preserve">, M., Brik, T., </w:t>
      </w:r>
      <w:proofErr w:type="spellStart"/>
      <w:r w:rsidRPr="00805829">
        <w:rPr>
          <w:rFonts w:ascii="Arial" w:hAnsi="Arial" w:cs="Arial"/>
          <w:sz w:val="22"/>
          <w:szCs w:val="22"/>
        </w:rPr>
        <w:t>Darkovich</w:t>
      </w:r>
      <w:proofErr w:type="spellEnd"/>
      <w:r w:rsidRPr="00805829">
        <w:rPr>
          <w:rFonts w:ascii="Arial" w:hAnsi="Arial" w:cs="Arial"/>
          <w:sz w:val="22"/>
          <w:szCs w:val="22"/>
        </w:rPr>
        <w:t xml:space="preserve">, A., </w:t>
      </w:r>
      <w:proofErr w:type="spellStart"/>
      <w:r w:rsidRPr="00805829">
        <w:rPr>
          <w:rFonts w:ascii="Arial" w:hAnsi="Arial" w:cs="Arial"/>
          <w:sz w:val="22"/>
          <w:szCs w:val="22"/>
        </w:rPr>
        <w:t>Savisko</w:t>
      </w:r>
      <w:proofErr w:type="spellEnd"/>
      <w:r w:rsidRPr="00805829">
        <w:rPr>
          <w:rFonts w:ascii="Arial" w:hAnsi="Arial" w:cs="Arial"/>
          <w:sz w:val="22"/>
          <w:szCs w:val="22"/>
        </w:rPr>
        <w:t xml:space="preserve">, M., </w:t>
      </w:r>
      <w:proofErr w:type="spellStart"/>
      <w:r w:rsidRPr="00805829">
        <w:rPr>
          <w:rFonts w:ascii="Arial" w:hAnsi="Arial" w:cs="Arial"/>
          <w:sz w:val="22"/>
          <w:szCs w:val="22"/>
        </w:rPr>
        <w:t>Hatsko</w:t>
      </w:r>
      <w:proofErr w:type="spellEnd"/>
      <w:r w:rsidRPr="00805829">
        <w:rPr>
          <w:rFonts w:ascii="Arial" w:hAnsi="Arial" w:cs="Arial"/>
          <w:sz w:val="22"/>
          <w:szCs w:val="22"/>
        </w:rPr>
        <w:t xml:space="preserve">, V., Tytiuk, S., &amp; </w:t>
      </w:r>
      <w:proofErr w:type="spellStart"/>
      <w:r w:rsidRPr="00805829">
        <w:rPr>
          <w:rFonts w:ascii="Arial" w:hAnsi="Arial" w:cs="Arial"/>
          <w:sz w:val="22"/>
          <w:szCs w:val="22"/>
        </w:rPr>
        <w:t>Piddubnyi</w:t>
      </w:r>
      <w:proofErr w:type="spellEnd"/>
      <w:r w:rsidRPr="00805829">
        <w:rPr>
          <w:rFonts w:ascii="Arial" w:hAnsi="Arial" w:cs="Arial"/>
          <w:sz w:val="22"/>
          <w:szCs w:val="22"/>
        </w:rPr>
        <w:t>, I. (2024). Explaining Ukraine's resilience to Russia's invasion: The role of local governance. Governance, 37(4), 1121-1140.</w:t>
      </w:r>
    </w:p>
    <w:p w14:paraId="65072E4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Rackwitz</w:t>
      </w:r>
      <w:proofErr w:type="spellEnd"/>
      <w:r w:rsidRPr="00805829">
        <w:rPr>
          <w:rFonts w:ascii="Arial" w:hAnsi="Arial" w:cs="Arial"/>
          <w:sz w:val="22"/>
          <w:szCs w:val="22"/>
        </w:rPr>
        <w:t xml:space="preserve">, M., </w:t>
      </w:r>
      <w:proofErr w:type="spellStart"/>
      <w:r w:rsidRPr="00805829">
        <w:rPr>
          <w:rFonts w:ascii="Arial" w:hAnsi="Arial" w:cs="Arial"/>
          <w:sz w:val="22"/>
          <w:szCs w:val="22"/>
        </w:rPr>
        <w:t>Breaugh</w:t>
      </w:r>
      <w:proofErr w:type="spellEnd"/>
      <w:r w:rsidRPr="00805829">
        <w:rPr>
          <w:rFonts w:ascii="Arial" w:hAnsi="Arial" w:cs="Arial"/>
          <w:sz w:val="22"/>
          <w:szCs w:val="22"/>
        </w:rPr>
        <w:t xml:space="preserve">, J., &amp; </w:t>
      </w:r>
      <w:proofErr w:type="spellStart"/>
      <w:r w:rsidRPr="00805829">
        <w:rPr>
          <w:rFonts w:ascii="Arial" w:hAnsi="Arial" w:cs="Arial"/>
          <w:sz w:val="22"/>
          <w:szCs w:val="22"/>
        </w:rPr>
        <w:t>Hammerschmid</w:t>
      </w:r>
      <w:proofErr w:type="spellEnd"/>
      <w:r w:rsidRPr="00805829">
        <w:rPr>
          <w:rFonts w:ascii="Arial" w:hAnsi="Arial" w:cs="Arial"/>
          <w:sz w:val="22"/>
          <w:szCs w:val="22"/>
        </w:rPr>
        <w:t>, G. (2024). Leadership for intergovernmental collaboration towards digital transformation. In Collaborating for Digital Transformation (pp. 124-142). Edward Elgar Publishing.</w:t>
      </w:r>
    </w:p>
    <w:p w14:paraId="5F88119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Radosevic, S., &amp; Ciampi </w:t>
      </w:r>
      <w:proofErr w:type="spellStart"/>
      <w:r w:rsidRPr="00805829">
        <w:rPr>
          <w:rFonts w:ascii="Arial" w:hAnsi="Arial" w:cs="Arial"/>
          <w:sz w:val="22"/>
          <w:szCs w:val="22"/>
          <w:lang w:val="es-ES"/>
        </w:rPr>
        <w:t>Stancova</w:t>
      </w:r>
      <w:proofErr w:type="spellEnd"/>
      <w:r w:rsidRPr="00805829">
        <w:rPr>
          <w:rFonts w:ascii="Arial" w:hAnsi="Arial" w:cs="Arial"/>
          <w:sz w:val="22"/>
          <w:szCs w:val="22"/>
          <w:lang w:val="es-ES"/>
        </w:rPr>
        <w:t xml:space="preserve">, K. (2018). </w:t>
      </w:r>
      <w:proofErr w:type="spellStart"/>
      <w:proofErr w:type="gramStart"/>
      <w:r w:rsidRPr="00805829">
        <w:rPr>
          <w:rFonts w:ascii="Arial" w:hAnsi="Arial" w:cs="Arial"/>
          <w:sz w:val="22"/>
          <w:szCs w:val="22"/>
        </w:rPr>
        <w:t>Internationalising</w:t>
      </w:r>
      <w:proofErr w:type="spellEnd"/>
      <w:r w:rsidRPr="00805829">
        <w:rPr>
          <w:rFonts w:ascii="Arial" w:hAnsi="Arial" w:cs="Arial"/>
          <w:sz w:val="22"/>
          <w:szCs w:val="22"/>
        </w:rPr>
        <w:t xml:space="preserve"> smart</w:t>
      </w:r>
      <w:proofErr w:type="gramEnd"/>
      <w:r w:rsidRPr="00805829">
        <w:rPr>
          <w:rFonts w:ascii="Arial" w:hAnsi="Arial" w:cs="Arial"/>
          <w:sz w:val="22"/>
          <w:szCs w:val="22"/>
        </w:rPr>
        <w:t xml:space="preserve"> </w:t>
      </w:r>
      <w:proofErr w:type="spellStart"/>
      <w:r w:rsidRPr="00805829">
        <w:rPr>
          <w:rFonts w:ascii="Arial" w:hAnsi="Arial" w:cs="Arial"/>
          <w:sz w:val="22"/>
          <w:szCs w:val="22"/>
        </w:rPr>
        <w:t>specialisation</w:t>
      </w:r>
      <w:proofErr w:type="spellEnd"/>
      <w:r w:rsidRPr="00805829">
        <w:rPr>
          <w:rFonts w:ascii="Arial" w:hAnsi="Arial" w:cs="Arial"/>
          <w:sz w:val="22"/>
          <w:szCs w:val="22"/>
        </w:rPr>
        <w:t>: Assessment and issues in the case of EU new member states. Journal of the Knowledge Economy, 9(1), 263-293.</w:t>
      </w:r>
    </w:p>
    <w:p w14:paraId="0216E07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Rodden, J., Eskeland, G. S., &amp; Litvack, J. I. (Eds.). (2003). Fiscal decentralization and the challenge of hard budget constraints. MIT press.</w:t>
      </w:r>
    </w:p>
    <w:p w14:paraId="42ADE13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Rodríguez-Pose, A. (2013). Do institutions matter for regional development? Regional Studies, 47(7), 1034-1047.</w:t>
      </w:r>
    </w:p>
    <w:p w14:paraId="23A5C65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Rodríguez-Pose, A. (2018). The revenge of the places that </w:t>
      </w:r>
      <w:proofErr w:type="gramStart"/>
      <w:r w:rsidRPr="00805829">
        <w:rPr>
          <w:rFonts w:ascii="Arial" w:hAnsi="Arial" w:cs="Arial"/>
          <w:sz w:val="22"/>
          <w:szCs w:val="22"/>
        </w:rPr>
        <w:t>don't</w:t>
      </w:r>
      <w:proofErr w:type="gramEnd"/>
      <w:r w:rsidRPr="00805829">
        <w:rPr>
          <w:rFonts w:ascii="Arial" w:hAnsi="Arial" w:cs="Arial"/>
          <w:sz w:val="22"/>
          <w:szCs w:val="22"/>
        </w:rPr>
        <w:t xml:space="preserve"> matter (and what to do about it). Cambridge journal of regions, economy and society, 11(1), 189-209.</w:t>
      </w:r>
    </w:p>
    <w:p w14:paraId="29B79DE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Rodríguez-Pose, A. (2020). Institutions and the fortunes of territories. Regional Science Policy &amp; Practice, 12(3), 371-386.</w:t>
      </w:r>
    </w:p>
    <w:p w14:paraId="0432532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Crescenzi, R. (2008). </w:t>
      </w:r>
      <w:r w:rsidRPr="00805829">
        <w:rPr>
          <w:rFonts w:ascii="Arial" w:hAnsi="Arial" w:cs="Arial"/>
          <w:sz w:val="22"/>
          <w:szCs w:val="22"/>
        </w:rPr>
        <w:t>Mountains in a flat world: why proximity still matters for the location of economic activity. Cambridge Journal of Regions, Economy and Society, 1(3), 371-388.</w:t>
      </w:r>
    </w:p>
    <w:p w14:paraId="19ACF90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Di Cataldo, M. (2015). </w:t>
      </w:r>
      <w:r w:rsidRPr="00805829">
        <w:rPr>
          <w:rFonts w:ascii="Arial" w:hAnsi="Arial" w:cs="Arial"/>
          <w:sz w:val="22"/>
          <w:szCs w:val="22"/>
        </w:rPr>
        <w:t>Quality of government and innovative performance in the regions of Europe. Journal of Economic Geography, 15(4), 673-706.</w:t>
      </w:r>
    </w:p>
    <w:p w14:paraId="1BD95C2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Ezcurra, R. (2010). </w:t>
      </w:r>
      <w:r w:rsidRPr="00805829">
        <w:rPr>
          <w:rFonts w:ascii="Arial" w:hAnsi="Arial" w:cs="Arial"/>
          <w:sz w:val="22"/>
          <w:szCs w:val="22"/>
        </w:rPr>
        <w:t>Does decentralization matter for regional disparities? A cross-country analysis. Journal of Economic Geography, 10(5), 619-644.</w:t>
      </w:r>
    </w:p>
    <w:p w14:paraId="7CB208C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Garcilazo, E. (2018). </w:t>
      </w:r>
      <w:r w:rsidRPr="00805829">
        <w:rPr>
          <w:rFonts w:ascii="Arial" w:hAnsi="Arial" w:cs="Arial"/>
          <w:sz w:val="22"/>
          <w:szCs w:val="22"/>
        </w:rPr>
        <w:t>Quality of government and the returns of investment: Examining the impact of cohesion expenditure in European regions. In Place-based Economic Development and the New EU Cohesion Policy (pp. 34-50). Routledge.</w:t>
      </w:r>
    </w:p>
    <w:p w14:paraId="5506CF3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Gill, N. (2006). </w:t>
      </w:r>
      <w:r w:rsidRPr="00805829">
        <w:rPr>
          <w:rFonts w:ascii="Arial" w:hAnsi="Arial" w:cs="Arial"/>
          <w:sz w:val="22"/>
          <w:szCs w:val="22"/>
        </w:rPr>
        <w:t>How does trade affect regional disparities? World Development, 34(7), 1201-1222</w:t>
      </w:r>
    </w:p>
    <w:p w14:paraId="014881F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Storper, M. (2020). </w:t>
      </w:r>
      <w:r w:rsidRPr="00805829">
        <w:rPr>
          <w:rFonts w:ascii="Arial" w:hAnsi="Arial" w:cs="Arial"/>
          <w:sz w:val="22"/>
          <w:szCs w:val="22"/>
        </w:rPr>
        <w:t>Housing, urban growth and inequalities: The limits to deregulation and upzoning in reducing economic and spatial inequality. Urban Studies, 57(2), 223-248.</w:t>
      </w:r>
    </w:p>
    <w:p w14:paraId="55AECCC7"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íguez</w:t>
      </w:r>
      <w:proofErr w:type="spellEnd"/>
      <w:r w:rsidRPr="00805829">
        <w:rPr>
          <w:rFonts w:ascii="Arial" w:hAnsi="Arial" w:cs="Arial"/>
          <w:sz w:val="22"/>
          <w:szCs w:val="22"/>
          <w:lang w:val="es-ES"/>
        </w:rPr>
        <w:t xml:space="preserve">-Pose, A., </w:t>
      </w:r>
      <w:proofErr w:type="spellStart"/>
      <w:r w:rsidRPr="00805829">
        <w:rPr>
          <w:rFonts w:ascii="Arial" w:hAnsi="Arial" w:cs="Arial"/>
          <w:sz w:val="22"/>
          <w:szCs w:val="22"/>
          <w:lang w:val="es-ES"/>
        </w:rPr>
        <w:t>Bartalucci</w:t>
      </w:r>
      <w:proofErr w:type="spellEnd"/>
      <w:r w:rsidRPr="00805829">
        <w:rPr>
          <w:rFonts w:ascii="Arial" w:hAnsi="Arial" w:cs="Arial"/>
          <w:sz w:val="22"/>
          <w:szCs w:val="22"/>
          <w:lang w:val="es-ES"/>
        </w:rPr>
        <w:t xml:space="preserve">, F., Lozano-Gracia, N., &amp; Dávalos, M. (2024). </w:t>
      </w:r>
      <w:r w:rsidRPr="00805829">
        <w:rPr>
          <w:rFonts w:ascii="Arial" w:hAnsi="Arial" w:cs="Arial"/>
          <w:sz w:val="22"/>
          <w:szCs w:val="22"/>
        </w:rPr>
        <w:t>Overcoming left-</w:t>
      </w:r>
      <w:proofErr w:type="spellStart"/>
      <w:r w:rsidRPr="00805829">
        <w:rPr>
          <w:rFonts w:ascii="Arial" w:hAnsi="Arial" w:cs="Arial"/>
          <w:sz w:val="22"/>
          <w:szCs w:val="22"/>
        </w:rPr>
        <w:t>behindedness</w:t>
      </w:r>
      <w:proofErr w:type="spellEnd"/>
      <w:r w:rsidRPr="00805829">
        <w:rPr>
          <w:rFonts w:ascii="Arial" w:hAnsi="Arial" w:cs="Arial"/>
          <w:sz w:val="22"/>
          <w:szCs w:val="22"/>
        </w:rPr>
        <w:t>. Moving beyond the efficiency versus equity debate in territorial development. Regional Science Policy &amp; Practice, 16(12), 100144.</w:t>
      </w:r>
    </w:p>
    <w:p w14:paraId="2DF2C54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Rodríguez</w:t>
      </w:r>
      <w:r w:rsidRPr="00805829">
        <w:rPr>
          <w:rFonts w:ascii="Cambria Math" w:hAnsi="Cambria Math" w:cs="Cambria Math"/>
          <w:sz w:val="22"/>
          <w:szCs w:val="22"/>
        </w:rPr>
        <w:t>‐</w:t>
      </w:r>
      <w:r w:rsidRPr="00805829">
        <w:rPr>
          <w:rFonts w:ascii="Arial" w:hAnsi="Arial" w:cs="Arial"/>
          <w:sz w:val="22"/>
          <w:szCs w:val="22"/>
        </w:rPr>
        <w:t>Pose, A. (2020). Institutions and the fortunes of territories. Regional Science Policy &amp; Practice, 12(3), 371-386.</w:t>
      </w:r>
    </w:p>
    <w:p w14:paraId="5587626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Rodríguez</w:t>
      </w:r>
      <w:r w:rsidRPr="00805829">
        <w:rPr>
          <w:rFonts w:ascii="Cambria Math" w:hAnsi="Cambria Math" w:cs="Cambria Math"/>
          <w:sz w:val="22"/>
          <w:szCs w:val="22"/>
          <w:lang w:val="es-ES"/>
        </w:rPr>
        <w:t>‐</w:t>
      </w:r>
      <w:r w:rsidRPr="00805829">
        <w:rPr>
          <w:rFonts w:ascii="Arial" w:hAnsi="Arial" w:cs="Arial"/>
          <w:sz w:val="22"/>
          <w:szCs w:val="22"/>
          <w:lang w:val="es-ES"/>
        </w:rPr>
        <w:t xml:space="preserve">Pose, A., &amp; Storper, M. (2006). </w:t>
      </w:r>
      <w:r w:rsidRPr="00805829">
        <w:rPr>
          <w:rFonts w:ascii="Arial" w:hAnsi="Arial" w:cs="Arial"/>
          <w:sz w:val="22"/>
          <w:szCs w:val="22"/>
        </w:rPr>
        <w:t>Better rules or stronger communities? On the social foundations of institutional change and its economic effects. Economic geography, 82(1), 1-25.</w:t>
      </w:r>
    </w:p>
    <w:p w14:paraId="45D6DDF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 xml:space="preserve">Rodríguez-Pose, A., &amp; Vidal-Bover, M. (2024). </w:t>
      </w:r>
      <w:r w:rsidRPr="00805829">
        <w:rPr>
          <w:rFonts w:ascii="Arial" w:hAnsi="Arial" w:cs="Arial"/>
          <w:sz w:val="22"/>
          <w:szCs w:val="22"/>
        </w:rPr>
        <w:t xml:space="preserve">Unfunded mandates and the economic impact of </w:t>
      </w:r>
      <w:proofErr w:type="spellStart"/>
      <w:r w:rsidRPr="00805829">
        <w:rPr>
          <w:rFonts w:ascii="Arial" w:hAnsi="Arial" w:cs="Arial"/>
          <w:sz w:val="22"/>
          <w:szCs w:val="22"/>
        </w:rPr>
        <w:t>decentralisation</w:t>
      </w:r>
      <w:proofErr w:type="spellEnd"/>
      <w:r w:rsidRPr="00805829">
        <w:rPr>
          <w:rFonts w:ascii="Arial" w:hAnsi="Arial" w:cs="Arial"/>
          <w:sz w:val="22"/>
          <w:szCs w:val="22"/>
        </w:rPr>
        <w:t>. When finance does not follow function. Political Studies, 72(2), 652-676.</w:t>
      </w:r>
    </w:p>
    <w:p w14:paraId="5F0D15D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Romanova, V., &amp; Umland, A. (2019). Ukraine's decentralization reforms since 2014: Initial achievements and future challenges. Chatham House Briefing Paper, November 2019.</w:t>
      </w:r>
    </w:p>
    <w:p w14:paraId="140B5776"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Romer, P. M. (1990). Endogenous technological change. Journal of Political Economy, 98(5), S71-S102.</w:t>
      </w:r>
    </w:p>
    <w:p w14:paraId="1226FD7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S&amp;P Global Ratings. (2021). Institutional framework assessment: German states. S&amp;P Global Ratings.</w:t>
      </w:r>
    </w:p>
    <w:p w14:paraId="7CD7AA6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Schnabel, J. (2017). Committed to coordination? Intergovernmental councils as a federal safeguard. Swiss Political Science Review, 23(2), 191-206.</w:t>
      </w:r>
    </w:p>
    <w:p w14:paraId="78B042B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Scottish Government. (2015). Community Empowerment (Scotland) Act 2015. Edinburgh: Scottish Parliament.</w:t>
      </w:r>
    </w:p>
    <w:p w14:paraId="1CFD8EC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Scottish Government. (2025). Assessment of community planning: Community Empowerment (Scotland) Act 2015 update and findings report. Edinburgh: Scottish Government. Retrieved from https://www.gov.scot/publications/community-empowerment-scotland-act-2015-update-findings-report/</w:t>
      </w:r>
    </w:p>
    <w:p w14:paraId="465C1A3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Shah, A. (Ed.). (2006). Local governance in developing countries. World Bank Publications.</w:t>
      </w:r>
    </w:p>
    <w:p w14:paraId="5666EF0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Slack, E. (2007). Managing the coordination of service delivery in metropolitan cities: The role of metropolitan governance (Vol. 4317). World Bank Publications.</w:t>
      </w:r>
    </w:p>
    <w:p w14:paraId="45ED803E"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Slack, E., &amp; Côté, A. (2014). Comparative urban governance: future of cities. Foresight, Government Office for Science.</w:t>
      </w:r>
    </w:p>
    <w:p w14:paraId="435D9F0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Smoke, P. (2015). Rethinking decentralization: Assessing challenges to a popular public sector reform. Public Administration and Development, 35(2), 97-112</w:t>
      </w:r>
    </w:p>
    <w:p w14:paraId="79AB3EA3"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de-DE"/>
        </w:rPr>
        <w:t>Sotarauta</w:t>
      </w:r>
      <w:proofErr w:type="spellEnd"/>
      <w:r w:rsidRPr="00805829">
        <w:rPr>
          <w:rFonts w:ascii="Arial" w:hAnsi="Arial" w:cs="Arial"/>
          <w:sz w:val="22"/>
          <w:szCs w:val="22"/>
          <w:lang w:val="de-DE"/>
        </w:rPr>
        <w:t xml:space="preserve">, M., Beer, A., &amp; Gibney, J. (2017). </w:t>
      </w:r>
      <w:r w:rsidRPr="00805829">
        <w:rPr>
          <w:rFonts w:ascii="Arial" w:hAnsi="Arial" w:cs="Arial"/>
          <w:sz w:val="22"/>
          <w:szCs w:val="22"/>
        </w:rPr>
        <w:t>Making sense of leadership in urban and regional development. Regional Studies, 51(2), 187-193.</w:t>
      </w:r>
    </w:p>
    <w:p w14:paraId="398EE4A8"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Spahn, P. B., &amp; Werner, J. (2007). </w:t>
      </w:r>
      <w:r w:rsidRPr="00805829">
        <w:rPr>
          <w:rFonts w:ascii="Arial" w:hAnsi="Arial" w:cs="Arial"/>
          <w:sz w:val="22"/>
          <w:szCs w:val="22"/>
        </w:rPr>
        <w:t>Germany at the Junction between Solidarity and Subsidiarity. Fiscal Fragmentation in Decentralized Countries: Subsidiarity, Solidarity and Asymmetry, Cheltenham: Edward Elgar Publishing, 89-113.</w:t>
      </w:r>
    </w:p>
    <w:p w14:paraId="39E6DB2C"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es-ES"/>
        </w:rPr>
        <w:t>Stoyanova, M., Pavlova-</w:t>
      </w:r>
      <w:proofErr w:type="spellStart"/>
      <w:r w:rsidRPr="00805829">
        <w:rPr>
          <w:rFonts w:ascii="Arial" w:hAnsi="Arial" w:cs="Arial"/>
          <w:sz w:val="22"/>
          <w:szCs w:val="22"/>
          <w:lang w:val="es-ES"/>
        </w:rPr>
        <w:t>Banova</w:t>
      </w:r>
      <w:proofErr w:type="spellEnd"/>
      <w:r w:rsidRPr="00805829">
        <w:rPr>
          <w:rFonts w:ascii="Arial" w:hAnsi="Arial" w:cs="Arial"/>
          <w:sz w:val="22"/>
          <w:szCs w:val="22"/>
          <w:lang w:val="es-ES"/>
        </w:rPr>
        <w:t xml:space="preserve">, M., &amp; Aleksandrova, A. (2023). </w:t>
      </w:r>
      <w:r w:rsidRPr="00805829">
        <w:rPr>
          <w:rFonts w:ascii="Arial" w:hAnsi="Arial" w:cs="Arial"/>
          <w:sz w:val="22"/>
          <w:szCs w:val="22"/>
        </w:rPr>
        <w:t xml:space="preserve">The integrated territorial development tools-a key component of the </w:t>
      </w:r>
      <w:proofErr w:type="spellStart"/>
      <w:r w:rsidRPr="00805829">
        <w:rPr>
          <w:rFonts w:ascii="Arial" w:hAnsi="Arial" w:cs="Arial"/>
          <w:sz w:val="22"/>
          <w:szCs w:val="22"/>
        </w:rPr>
        <w:t>european</w:t>
      </w:r>
      <w:proofErr w:type="spellEnd"/>
      <w:r w:rsidRPr="00805829">
        <w:rPr>
          <w:rFonts w:ascii="Arial" w:hAnsi="Arial" w:cs="Arial"/>
          <w:sz w:val="22"/>
          <w:szCs w:val="22"/>
        </w:rPr>
        <w:t xml:space="preserve"> cohesion policy. Revista </w:t>
      </w:r>
      <w:proofErr w:type="spellStart"/>
      <w:r w:rsidRPr="00805829">
        <w:rPr>
          <w:rFonts w:ascii="Arial" w:hAnsi="Arial" w:cs="Arial"/>
          <w:sz w:val="22"/>
          <w:szCs w:val="22"/>
        </w:rPr>
        <w:t>Inclusiones</w:t>
      </w:r>
      <w:proofErr w:type="spellEnd"/>
      <w:r w:rsidRPr="00805829">
        <w:rPr>
          <w:rFonts w:ascii="Arial" w:hAnsi="Arial" w:cs="Arial"/>
          <w:sz w:val="22"/>
          <w:szCs w:val="22"/>
        </w:rPr>
        <w:t>, 10(2), 64-79.</w:t>
      </w:r>
    </w:p>
    <w:p w14:paraId="6872EE2A"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Swianiewicz, P. (2014). An empirical typology of local government systems in Eastern Europe. Local Government Studies, 40(2), 292-311.</w:t>
      </w:r>
    </w:p>
    <w:p w14:paraId="1C27B08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Tavares, A. F. (2018). Municipal amalgamations and their effects: A literature review. Miscellanea </w:t>
      </w:r>
      <w:proofErr w:type="spellStart"/>
      <w:r w:rsidRPr="00805829">
        <w:rPr>
          <w:rFonts w:ascii="Arial" w:hAnsi="Arial" w:cs="Arial"/>
          <w:sz w:val="22"/>
          <w:szCs w:val="22"/>
        </w:rPr>
        <w:t>Geographica</w:t>
      </w:r>
      <w:proofErr w:type="spellEnd"/>
      <w:r w:rsidRPr="00805829">
        <w:rPr>
          <w:rFonts w:ascii="Arial" w:hAnsi="Arial" w:cs="Arial"/>
          <w:sz w:val="22"/>
          <w:szCs w:val="22"/>
        </w:rPr>
        <w:t>. Regional Studies on Development, 22(1), 5-15.</w:t>
      </w:r>
    </w:p>
    <w:p w14:paraId="39ABFAC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lastRenderedPageBreak/>
        <w:t>Teilmann, K. (2012). Measuring social capital accumulation in rural development. Journal of Rural Studies, 28(4), 458-465.</w:t>
      </w:r>
    </w:p>
    <w:p w14:paraId="15C0153C"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Tomaney</w:t>
      </w:r>
      <w:proofErr w:type="spellEnd"/>
      <w:r w:rsidRPr="00805829">
        <w:rPr>
          <w:rFonts w:ascii="Arial" w:hAnsi="Arial" w:cs="Arial"/>
          <w:sz w:val="22"/>
          <w:szCs w:val="22"/>
        </w:rPr>
        <w:t>, J. (2014). Region and place I: Institutions. Progress in Human Geography, 38(1), 131-140.</w:t>
      </w:r>
    </w:p>
    <w:p w14:paraId="04FB6515"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lang w:val="es-ES"/>
        </w:rPr>
        <w:t>Tselios</w:t>
      </w:r>
      <w:proofErr w:type="spellEnd"/>
      <w:r w:rsidRPr="00805829">
        <w:rPr>
          <w:rFonts w:ascii="Arial" w:hAnsi="Arial" w:cs="Arial"/>
          <w:sz w:val="22"/>
          <w:szCs w:val="22"/>
          <w:lang w:val="es-ES"/>
        </w:rPr>
        <w:t xml:space="preserve">, V., Rodríguez-Pose, A., Pike, A., </w:t>
      </w:r>
      <w:proofErr w:type="spellStart"/>
      <w:r w:rsidRPr="00805829">
        <w:rPr>
          <w:rFonts w:ascii="Arial" w:hAnsi="Arial" w:cs="Arial"/>
          <w:sz w:val="22"/>
          <w:szCs w:val="22"/>
          <w:lang w:val="es-ES"/>
        </w:rPr>
        <w:t>Tomaney</w:t>
      </w:r>
      <w:proofErr w:type="spellEnd"/>
      <w:r w:rsidRPr="00805829">
        <w:rPr>
          <w:rFonts w:ascii="Arial" w:hAnsi="Arial" w:cs="Arial"/>
          <w:sz w:val="22"/>
          <w:szCs w:val="22"/>
          <w:lang w:val="es-ES"/>
        </w:rPr>
        <w:t xml:space="preserve">, J., &amp; Torrisi, G. (2012). </w:t>
      </w:r>
      <w:r w:rsidRPr="00805829">
        <w:rPr>
          <w:rFonts w:ascii="Arial" w:hAnsi="Arial" w:cs="Arial"/>
          <w:sz w:val="22"/>
          <w:szCs w:val="22"/>
        </w:rPr>
        <w:t xml:space="preserve">Income inequality, </w:t>
      </w:r>
      <w:proofErr w:type="spellStart"/>
      <w:r w:rsidRPr="00805829">
        <w:rPr>
          <w:rFonts w:ascii="Arial" w:hAnsi="Arial" w:cs="Arial"/>
          <w:sz w:val="22"/>
          <w:szCs w:val="22"/>
        </w:rPr>
        <w:t>decentralisation</w:t>
      </w:r>
      <w:proofErr w:type="spellEnd"/>
      <w:r w:rsidRPr="00805829">
        <w:rPr>
          <w:rFonts w:ascii="Arial" w:hAnsi="Arial" w:cs="Arial"/>
          <w:sz w:val="22"/>
          <w:szCs w:val="22"/>
        </w:rPr>
        <w:t>, and regional development in Western Europe. Environment and Planning A, 44(6), 1278-1301.</w:t>
      </w:r>
    </w:p>
    <w:p w14:paraId="3B6198A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U-LEAD. (2021). Funding for Regional and </w:t>
      </w:r>
      <w:proofErr w:type="spellStart"/>
      <w:r w:rsidRPr="00805829">
        <w:rPr>
          <w:rFonts w:ascii="Arial" w:hAnsi="Arial" w:cs="Arial"/>
          <w:sz w:val="22"/>
          <w:szCs w:val="22"/>
        </w:rPr>
        <w:t>LocalDevelopment</w:t>
      </w:r>
      <w:proofErr w:type="spellEnd"/>
      <w:r w:rsidRPr="00805829">
        <w:rPr>
          <w:rFonts w:ascii="Arial" w:hAnsi="Arial" w:cs="Arial"/>
          <w:sz w:val="22"/>
          <w:szCs w:val="22"/>
        </w:rPr>
        <w:t xml:space="preserve"> from the State Budget. Kyiv: U-LEAD.</w:t>
      </w:r>
    </w:p>
    <w:p w14:paraId="2A29A66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U-LEAD. (2025a). Regional development </w:t>
      </w:r>
      <w:proofErr w:type="spellStart"/>
      <w:r w:rsidRPr="00805829">
        <w:rPr>
          <w:rFonts w:ascii="Arial" w:hAnsi="Arial" w:cs="Arial"/>
          <w:sz w:val="22"/>
          <w:szCs w:val="22"/>
        </w:rPr>
        <w:t>endeavours</w:t>
      </w:r>
      <w:proofErr w:type="spellEnd"/>
      <w:r w:rsidRPr="00805829">
        <w:rPr>
          <w:rFonts w:ascii="Arial" w:hAnsi="Arial" w:cs="Arial"/>
          <w:sz w:val="22"/>
          <w:szCs w:val="22"/>
        </w:rPr>
        <w:t xml:space="preserve"> in the wake of the war: the Ukraine Plan, State Strategy for Regional Development 2021-2027 and Chapter 22 of the accession negotiations. Kyiv: U-LEAD with Europe.</w:t>
      </w:r>
    </w:p>
    <w:p w14:paraId="1AE129D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(2025b). "How to meet EU accession requirements in the field of Chapter 22, regional policy and coordination of structural instruments -- coordination and allocation of functions for regional development policy implementation and future utilization of EU structural instruments in Ukraine". Kyiv: U-LEAD with Europe.</w:t>
      </w:r>
    </w:p>
    <w:p w14:paraId="4B0FCD7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(2025c). Case study on Lithuania. Kyiv: U-LEAD.</w:t>
      </w:r>
    </w:p>
    <w:p w14:paraId="384A215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U-LEAD. (2025d). Case study on France. Kyiv: U-LEAD.</w:t>
      </w:r>
    </w:p>
    <w:p w14:paraId="0EED57DB"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Uddin, I., Ahmad, M., Ismailov, D., </w:t>
      </w:r>
      <w:proofErr w:type="spellStart"/>
      <w:r w:rsidRPr="00805829">
        <w:rPr>
          <w:rFonts w:ascii="Arial" w:hAnsi="Arial" w:cs="Arial"/>
          <w:sz w:val="22"/>
          <w:szCs w:val="22"/>
        </w:rPr>
        <w:t>Balbaa</w:t>
      </w:r>
      <w:proofErr w:type="spellEnd"/>
      <w:r w:rsidRPr="00805829">
        <w:rPr>
          <w:rFonts w:ascii="Arial" w:hAnsi="Arial" w:cs="Arial"/>
          <w:sz w:val="22"/>
          <w:szCs w:val="22"/>
        </w:rPr>
        <w:t>, M. E., Akhmedov, A., Khasanov, S., &amp; Haq, M. U. (2023). Enhancing institutional quality to boost economic development in developing nations: New insights from CS-ARDL approach. Research in Globalization, 7, 100137.</w:t>
      </w:r>
    </w:p>
    <w:p w14:paraId="425012D9"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Ukrainian Centre for Regional Development (UCORD). (2023). Strengthening regional development agencies in Ukraine. UCORD Project Report.</w:t>
      </w:r>
    </w:p>
    <w:p w14:paraId="14EFE1B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University of Minnesota Extension. (2013). Lessons from the storm: Case studies on economic recovery and resilience. Extension Disaster Education Network (EDEN). https://extensiondisaster.net/lessons-from-the-storm-case-studies-on-economic-recovery-and-resilience/</w:t>
      </w:r>
    </w:p>
    <w:p w14:paraId="51B28C2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t xml:space="preserve">van der </w:t>
      </w:r>
      <w:proofErr w:type="spellStart"/>
      <w:r w:rsidRPr="00805829">
        <w:rPr>
          <w:rFonts w:ascii="Arial" w:hAnsi="Arial" w:cs="Arial"/>
          <w:sz w:val="22"/>
          <w:szCs w:val="22"/>
          <w:lang w:val="de-DE"/>
        </w:rPr>
        <w:t>Zwet</w:t>
      </w:r>
      <w:proofErr w:type="spellEnd"/>
      <w:r w:rsidRPr="00805829">
        <w:rPr>
          <w:rFonts w:ascii="Arial" w:hAnsi="Arial" w:cs="Arial"/>
          <w:sz w:val="22"/>
          <w:szCs w:val="22"/>
          <w:lang w:val="de-DE"/>
        </w:rPr>
        <w:t xml:space="preserve">, A., Bachtler, J., Ferry, M., McMaster, I., &amp; Miller, S. (2017). </w:t>
      </w:r>
      <w:r w:rsidRPr="00805829">
        <w:rPr>
          <w:rFonts w:ascii="Arial" w:hAnsi="Arial" w:cs="Arial"/>
          <w:sz w:val="22"/>
          <w:szCs w:val="22"/>
        </w:rPr>
        <w:t>Integrated territorial and urban strategies: How are ESIF adding value in 2014-2020? European Commission, Directorate-General for Regional and Urban Policy</w:t>
      </w:r>
    </w:p>
    <w:p w14:paraId="49B8C017"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van der </w:t>
      </w:r>
      <w:proofErr w:type="spellStart"/>
      <w:r w:rsidRPr="00805829">
        <w:rPr>
          <w:rFonts w:ascii="Arial" w:hAnsi="Arial" w:cs="Arial"/>
          <w:sz w:val="22"/>
          <w:szCs w:val="22"/>
        </w:rPr>
        <w:t>Zwet</w:t>
      </w:r>
      <w:proofErr w:type="spellEnd"/>
      <w:r w:rsidRPr="00805829">
        <w:rPr>
          <w:rFonts w:ascii="Arial" w:hAnsi="Arial" w:cs="Arial"/>
          <w:sz w:val="22"/>
          <w:szCs w:val="22"/>
        </w:rPr>
        <w:t>, A., Miller, S., &amp; Gross, F. (2014) A First Stock Take: Integrated Territorial Approaches in Cohesion Policy 2014-20. IQ-Net Thematic Paper, Vol.35, No.2, European Policies Research Centre, Glasgow</w:t>
      </w:r>
    </w:p>
    <w:p w14:paraId="4FAE041A"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Vaskivska</w:t>
      </w:r>
      <w:proofErr w:type="spellEnd"/>
      <w:r w:rsidRPr="00805829">
        <w:rPr>
          <w:rFonts w:ascii="Arial" w:hAnsi="Arial" w:cs="Arial"/>
          <w:sz w:val="22"/>
          <w:szCs w:val="22"/>
        </w:rPr>
        <w:t>, K. (2020). The development of the regional innovation system in Ukraine under decentralization. Journal of Management and Financial Sciences, (40), 57-72.</w:t>
      </w:r>
    </w:p>
    <w:p w14:paraId="61E039C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fr-FR"/>
        </w:rPr>
        <w:t xml:space="preserve">Vie Publique. (2015). Loi du 7 août 2015 portant nouvelle organisation territoriale de la République. </w:t>
      </w:r>
      <w:r w:rsidRPr="00805829">
        <w:rPr>
          <w:rFonts w:ascii="Arial" w:hAnsi="Arial" w:cs="Arial"/>
          <w:sz w:val="22"/>
          <w:szCs w:val="22"/>
        </w:rPr>
        <w:t>Accessed at https://www.vie-publique.fr/loi/20721-loi-notre-loi-du-7-aout-2015-nouvelle-organisation-territoriale-de-la</w:t>
      </w:r>
    </w:p>
    <w:p w14:paraId="72165DF0" w14:textId="77777777" w:rsidR="00501F4B" w:rsidRPr="00805829" w:rsidRDefault="00000000" w:rsidP="00DF2109">
      <w:pPr>
        <w:pStyle w:val="ListParagraph"/>
        <w:numPr>
          <w:ilvl w:val="0"/>
          <w:numId w:val="1"/>
        </w:numPr>
        <w:spacing w:after="120"/>
        <w:jc w:val="both"/>
        <w:rPr>
          <w:rFonts w:ascii="Arial" w:hAnsi="Arial" w:cs="Arial"/>
          <w:sz w:val="22"/>
          <w:szCs w:val="22"/>
        </w:rPr>
      </w:pPr>
      <w:proofErr w:type="spellStart"/>
      <w:r w:rsidRPr="00805829">
        <w:rPr>
          <w:rFonts w:ascii="Arial" w:hAnsi="Arial" w:cs="Arial"/>
          <w:sz w:val="22"/>
          <w:szCs w:val="22"/>
        </w:rPr>
        <w:t>Virkkala</w:t>
      </w:r>
      <w:proofErr w:type="spellEnd"/>
      <w:r w:rsidRPr="00805829">
        <w:rPr>
          <w:rFonts w:ascii="Arial" w:hAnsi="Arial" w:cs="Arial"/>
          <w:sz w:val="22"/>
          <w:szCs w:val="22"/>
        </w:rPr>
        <w:t>, S. (2007). Innovation and networking in peripheral areas---a case study of emergence and change in rural manufacturing. European Planning Studies, 15(4), 511-529.</w:t>
      </w:r>
    </w:p>
    <w:p w14:paraId="5F1EB2AD"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lang w:val="de-DE"/>
        </w:rPr>
        <w:lastRenderedPageBreak/>
        <w:t xml:space="preserve">Von Hagen, J., &amp; Wolff, G. B. (2006). </w:t>
      </w:r>
      <w:r w:rsidRPr="00805829">
        <w:rPr>
          <w:rFonts w:ascii="Arial" w:hAnsi="Arial" w:cs="Arial"/>
          <w:sz w:val="22"/>
          <w:szCs w:val="22"/>
        </w:rPr>
        <w:t>What do deficits tell us about debt? Empirical evidence on creative accounting with fiscal rules in the EU. Journal of Banking &amp; Finance, 30(12), 3259-3279.</w:t>
      </w:r>
    </w:p>
    <w:p w14:paraId="37B985AB" w14:textId="77777777" w:rsidR="00501F4B" w:rsidRPr="00805829" w:rsidRDefault="00000000" w:rsidP="00DF2109">
      <w:pPr>
        <w:pStyle w:val="ListParagraph"/>
        <w:numPr>
          <w:ilvl w:val="0"/>
          <w:numId w:val="1"/>
        </w:numPr>
        <w:spacing w:after="120"/>
        <w:jc w:val="both"/>
        <w:rPr>
          <w:rFonts w:ascii="Arial" w:hAnsi="Arial" w:cs="Arial"/>
          <w:sz w:val="22"/>
          <w:szCs w:val="22"/>
          <w:lang w:val="fr-FR"/>
        </w:rPr>
      </w:pPr>
      <w:proofErr w:type="spellStart"/>
      <w:r w:rsidRPr="00805829">
        <w:rPr>
          <w:rFonts w:ascii="Arial" w:hAnsi="Arial" w:cs="Arial"/>
          <w:sz w:val="22"/>
          <w:szCs w:val="22"/>
        </w:rPr>
        <w:t>VoxUkraine</w:t>
      </w:r>
      <w:proofErr w:type="spellEnd"/>
      <w:r w:rsidRPr="00805829">
        <w:rPr>
          <w:rFonts w:ascii="Arial" w:hAnsi="Arial" w:cs="Arial"/>
          <w:sz w:val="22"/>
          <w:szCs w:val="22"/>
        </w:rPr>
        <w:t xml:space="preserve">. (2023, September 25). Driving growth and development: Poland's cohesion policy funds absorption model. </w:t>
      </w:r>
      <w:proofErr w:type="spellStart"/>
      <w:r w:rsidRPr="00805829">
        <w:rPr>
          <w:rFonts w:ascii="Arial" w:hAnsi="Arial" w:cs="Arial"/>
          <w:sz w:val="22"/>
          <w:szCs w:val="22"/>
          <w:lang w:val="fr-FR"/>
        </w:rPr>
        <w:t>VoxUkraine</w:t>
      </w:r>
      <w:proofErr w:type="spellEnd"/>
      <w:r w:rsidRPr="00805829">
        <w:rPr>
          <w:rFonts w:ascii="Arial" w:hAnsi="Arial" w:cs="Arial"/>
          <w:sz w:val="22"/>
          <w:szCs w:val="22"/>
          <w:lang w:val="fr-FR"/>
        </w:rPr>
        <w:t>. https://voxukraine.org/en/driving-growth-and-development-polands-cohesion-policy-funds-absorption-model</w:t>
      </w:r>
    </w:p>
    <w:p w14:paraId="6349BD65"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Wampler, B. (2012). Participatory budgeting: Core principles and key impacts. Journal of Public Deliberation.</w:t>
      </w:r>
    </w:p>
    <w:p w14:paraId="1EF3C873"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(2023). Ukraine rapid damage and needs assessment: February 2022 -- February 2023. Washington DC: World Bank Group.</w:t>
      </w:r>
    </w:p>
    <w:p w14:paraId="095DA7D1"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World Bank. (2008). Decentralization in client countries: An evaluation of World Bank support, </w:t>
      </w:r>
      <w:proofErr w:type="gramStart"/>
      <w:r w:rsidRPr="00805829">
        <w:rPr>
          <w:rFonts w:ascii="Arial" w:hAnsi="Arial" w:cs="Arial"/>
          <w:sz w:val="22"/>
          <w:szCs w:val="22"/>
        </w:rPr>
        <w:t>1990--2007</w:t>
      </w:r>
      <w:proofErr w:type="gramEnd"/>
      <w:r w:rsidRPr="00805829">
        <w:rPr>
          <w:rFonts w:ascii="Arial" w:hAnsi="Arial" w:cs="Arial"/>
          <w:sz w:val="22"/>
          <w:szCs w:val="22"/>
        </w:rPr>
        <w:t>. World Bank.</w:t>
      </w:r>
    </w:p>
    <w:p w14:paraId="68FBADB4"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(2009). World development report 2009: Reshaping economic geography. Washington DC: World Bank.</w:t>
      </w:r>
    </w:p>
    <w:p w14:paraId="1A43B5C0"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(2016). Indonesia: Turning to unity for rebuilding communities after natural disasters. Washington DC: World Bank.</w:t>
      </w:r>
    </w:p>
    <w:p w14:paraId="32A034AF" w14:textId="77777777" w:rsidR="00501F4B" w:rsidRPr="0080582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World Bank. (2020). Municipal Solid Waste in Ukraine: Development Potential. World Bank</w:t>
      </w:r>
    </w:p>
    <w:p w14:paraId="573DFAB4" w14:textId="115FA7BD" w:rsidR="00501F4B" w:rsidRPr="00DF2109" w:rsidRDefault="00000000" w:rsidP="00DF2109">
      <w:pPr>
        <w:pStyle w:val="ListParagraph"/>
        <w:numPr>
          <w:ilvl w:val="0"/>
          <w:numId w:val="1"/>
        </w:numPr>
        <w:spacing w:after="120"/>
        <w:jc w:val="both"/>
        <w:rPr>
          <w:rFonts w:ascii="Arial" w:hAnsi="Arial" w:cs="Arial"/>
          <w:sz w:val="22"/>
          <w:szCs w:val="22"/>
        </w:rPr>
      </w:pPr>
      <w:r w:rsidRPr="00805829">
        <w:rPr>
          <w:rFonts w:ascii="Arial" w:hAnsi="Arial" w:cs="Arial"/>
          <w:sz w:val="22"/>
          <w:szCs w:val="22"/>
        </w:rPr>
        <w:t xml:space="preserve">World Bank, Government of Ukraine, European Union, United Nations. (2026). </w:t>
      </w:r>
      <w:r w:rsidRPr="00805829">
        <w:rPr>
          <w:rFonts w:ascii="Arial" w:hAnsi="Arial" w:cs="Arial"/>
          <w:i/>
          <w:iCs/>
          <w:sz w:val="22"/>
          <w:szCs w:val="22"/>
        </w:rPr>
        <w:t>Ukraine - Fifth Rapid Damage and Needs Assessment (RDNA4): February 2022 - December 2025 (English)</w:t>
      </w:r>
      <w:r w:rsidRPr="00805829">
        <w:rPr>
          <w:rFonts w:ascii="Arial" w:hAnsi="Arial" w:cs="Arial"/>
          <w:sz w:val="22"/>
          <w:szCs w:val="22"/>
        </w:rPr>
        <w:t>. Washington, D.C.: World Bank Group. February 2026. http://documents.worldbank.org/curated/en/099022026094036395</w:t>
      </w:r>
      <w:r w:rsidRPr="00DF2109">
        <w:rPr>
          <w:rFonts w:ascii="Arial" w:hAnsi="Arial" w:cs="Arial"/>
          <w:sz w:val="22"/>
          <w:szCs w:val="22"/>
        </w:rPr>
        <w:t>d/en/099022026094036395</w:t>
      </w:r>
    </w:p>
    <w:sectPr w:rsidR="00501F4B" w:rsidRPr="00DF210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83972"/>
    <w:multiLevelType w:val="hybridMultilevel"/>
    <w:tmpl w:val="125E2102"/>
    <w:lvl w:ilvl="0" w:tplc="A0CEA3EC">
      <w:start w:val="1"/>
      <w:numFmt w:val="bullet"/>
      <w:lvlText w:val="●"/>
      <w:lvlJc w:val="left"/>
      <w:pPr>
        <w:ind w:left="720" w:hanging="360"/>
      </w:pPr>
    </w:lvl>
    <w:lvl w:ilvl="1" w:tplc="394C9C74">
      <w:start w:val="1"/>
      <w:numFmt w:val="bullet"/>
      <w:lvlText w:val="○"/>
      <w:lvlJc w:val="left"/>
      <w:pPr>
        <w:ind w:left="1440" w:hanging="360"/>
      </w:pPr>
    </w:lvl>
    <w:lvl w:ilvl="2" w:tplc="B88E8E9A">
      <w:start w:val="1"/>
      <w:numFmt w:val="bullet"/>
      <w:lvlText w:val="■"/>
      <w:lvlJc w:val="left"/>
      <w:pPr>
        <w:ind w:left="2160" w:hanging="360"/>
      </w:pPr>
    </w:lvl>
    <w:lvl w:ilvl="3" w:tplc="2A045A46">
      <w:start w:val="1"/>
      <w:numFmt w:val="bullet"/>
      <w:lvlText w:val="●"/>
      <w:lvlJc w:val="left"/>
      <w:pPr>
        <w:ind w:left="2880" w:hanging="360"/>
      </w:pPr>
    </w:lvl>
    <w:lvl w:ilvl="4" w:tplc="C5AC017A">
      <w:start w:val="1"/>
      <w:numFmt w:val="bullet"/>
      <w:lvlText w:val="○"/>
      <w:lvlJc w:val="left"/>
      <w:pPr>
        <w:ind w:left="3600" w:hanging="360"/>
      </w:pPr>
    </w:lvl>
    <w:lvl w:ilvl="5" w:tplc="0DDC08AE">
      <w:start w:val="1"/>
      <w:numFmt w:val="bullet"/>
      <w:lvlText w:val="■"/>
      <w:lvlJc w:val="left"/>
      <w:pPr>
        <w:ind w:left="4320" w:hanging="360"/>
      </w:pPr>
    </w:lvl>
    <w:lvl w:ilvl="6" w:tplc="4AA04236">
      <w:start w:val="1"/>
      <w:numFmt w:val="bullet"/>
      <w:lvlText w:val="●"/>
      <w:lvlJc w:val="left"/>
      <w:pPr>
        <w:ind w:left="5040" w:hanging="360"/>
      </w:pPr>
    </w:lvl>
    <w:lvl w:ilvl="7" w:tplc="8A8A51B6">
      <w:start w:val="1"/>
      <w:numFmt w:val="bullet"/>
      <w:lvlText w:val="●"/>
      <w:lvlJc w:val="left"/>
      <w:pPr>
        <w:ind w:left="5760" w:hanging="360"/>
      </w:pPr>
    </w:lvl>
    <w:lvl w:ilvl="8" w:tplc="4C246F7E">
      <w:start w:val="1"/>
      <w:numFmt w:val="bullet"/>
      <w:lvlText w:val="●"/>
      <w:lvlJc w:val="left"/>
      <w:pPr>
        <w:ind w:left="6480" w:hanging="360"/>
      </w:pPr>
    </w:lvl>
  </w:abstractNum>
  <w:num w:numId="1" w16cid:durableId="115348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F4B"/>
    <w:rsid w:val="00200F7E"/>
    <w:rsid w:val="00501F4B"/>
    <w:rsid w:val="007E0E14"/>
    <w:rsid w:val="00805829"/>
    <w:rsid w:val="00A76ABE"/>
    <w:rsid w:val="00DA38DB"/>
    <w:rsid w:val="00DF2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A730"/>
  <w15:docId w15:val="{65565F09-04A9-44E4-88BE-48C5F10E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1AE0419EBEF42A262FD1738E40515" ma:contentTypeVersion="19" ma:contentTypeDescription="Create a new document." ma:contentTypeScope="" ma:versionID="afd33e89c0b841c3126cbcf0c23f4fd9">
  <xsd:schema xmlns:xsd="http://www.w3.org/2001/XMLSchema" xmlns:xs="http://www.w3.org/2001/XMLSchema" xmlns:p="http://schemas.microsoft.com/office/2006/metadata/properties" xmlns:ns2="86ea2811-7052-470a-98ba-609572588914" xmlns:ns3="c4135c94-17a7-4e29-a432-5d31d46a1209" targetNamespace="http://schemas.microsoft.com/office/2006/metadata/properties" ma:root="true" ma:fieldsID="8687a5d9bef98dff8e41db2a330f77d9" ns2:_="" ns3:_="">
    <xsd:import namespace="86ea2811-7052-470a-98ba-609572588914"/>
    <xsd:import namespace="c4135c94-17a7-4e29-a432-5d31d46a1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2811-7052-470a-98ba-609572588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35c94-17a7-4e29-a432-5d31d46a120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0e6f53-885e-4176-bda3-2a377736f87e}" ma:internalName="TaxCatchAll" ma:showField="CatchAllData" ma:web="c4135c94-17a7-4e29-a432-5d31d46a1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ea2811-7052-470a-98ba-609572588914">
      <Terms xmlns="http://schemas.microsoft.com/office/infopath/2007/PartnerControls"/>
    </lcf76f155ced4ddcb4097134ff3c332f>
    <TaxCatchAll xmlns="c4135c94-17a7-4e29-a432-5d31d46a1209" xsi:nil="true"/>
  </documentManagement>
</p:properties>
</file>

<file path=customXml/itemProps1.xml><?xml version="1.0" encoding="utf-8"?>
<ds:datastoreItem xmlns:ds="http://schemas.openxmlformats.org/officeDocument/2006/customXml" ds:itemID="{42CA62D0-E9A9-452A-87C2-0828FCD2B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2811-7052-470a-98ba-609572588914"/>
    <ds:schemaRef ds:uri="c4135c94-17a7-4e29-a432-5d31d46a1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41725-2D35-4FBD-846F-A75879B9EAF9}">
  <ds:schemaRefs>
    <ds:schemaRef ds:uri="http://schemas.microsoft.com/sharepoint/v3/contenttype/forms"/>
  </ds:schemaRefs>
</ds:datastoreItem>
</file>

<file path=customXml/itemProps3.xml><?xml version="1.0" encoding="utf-8"?>
<ds:datastoreItem xmlns:ds="http://schemas.openxmlformats.org/officeDocument/2006/customXml" ds:itemID="{4186EE66-217F-40B0-AA15-14BF00188FE8}">
  <ds:schemaRefs>
    <ds:schemaRef ds:uri="http://schemas.microsoft.com/office/2006/metadata/properties"/>
    <ds:schemaRef ds:uri="http://schemas.microsoft.com/office/infopath/2007/PartnerControls"/>
    <ds:schemaRef ds:uri="86ea2811-7052-470a-98ba-609572588914"/>
    <ds:schemaRef ds:uri="c4135c94-17a7-4e29-a432-5d31d46a120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4020</Words>
  <Characters>22915</Characters>
  <Application>Microsoft Office Word</Application>
  <DocSecurity>0</DocSecurity>
  <Lines>190</Lines>
  <Paragraphs>53</Paragraphs>
  <ScaleCrop>false</ScaleCrop>
  <Company/>
  <LinksUpToDate>false</LinksUpToDate>
  <CharactersWithSpaces>26882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Kholodovskyi, Sergii GIZ UA</cp:lastModifiedBy>
  <cp:revision>5</cp:revision>
  <dcterms:created xsi:type="dcterms:W3CDTF">2026-08-04T08:12:00Z</dcterms:created>
  <dcterms:modified xsi:type="dcterms:W3CDTF">2026-09-14T11:54:00Z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0x0101003991AE0419EBEF42A262FD1738E40515</vt:lpwstr>
  </property>
</Properties>
</file>