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D7" w:rsidRPr="001B4A5B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311D7" w:rsidRPr="001B4A5B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1D7" w:rsidRPr="001B4A5B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1D7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3CD" w:rsidRDefault="001E33CD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3CD" w:rsidRDefault="001E33CD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3CD" w:rsidRDefault="001E33CD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3CD" w:rsidRPr="001B4A5B" w:rsidRDefault="001E33CD" w:rsidP="001E33C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11D7" w:rsidRPr="001B4A5B" w:rsidRDefault="00A311D7" w:rsidP="001E3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A5B">
        <w:rPr>
          <w:rFonts w:ascii="Times New Roman" w:hAnsi="Times New Roman" w:cs="Times New Roman"/>
          <w:b/>
          <w:bCs/>
          <w:sz w:val="28"/>
          <w:szCs w:val="28"/>
        </w:rPr>
        <w:t>ВИСНОВОК</w:t>
      </w:r>
    </w:p>
    <w:p w:rsidR="00A311D7" w:rsidRPr="001B4A5B" w:rsidRDefault="00A311D7" w:rsidP="001E3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A5B">
        <w:rPr>
          <w:rFonts w:ascii="Times New Roman" w:hAnsi="Times New Roman" w:cs="Times New Roman"/>
          <w:b/>
          <w:bCs/>
          <w:sz w:val="28"/>
          <w:szCs w:val="28"/>
        </w:rPr>
        <w:t xml:space="preserve">на проект Закону України «Про внесення змін до Закону України </w:t>
      </w:r>
      <w:r w:rsidR="001E33C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4A5B">
        <w:rPr>
          <w:rFonts w:ascii="Times New Roman" w:hAnsi="Times New Roman" w:cs="Times New Roman"/>
          <w:b/>
          <w:bCs/>
          <w:sz w:val="28"/>
          <w:szCs w:val="28"/>
        </w:rPr>
        <w:t>«Про співробітництво територіальних громад» щодо упорядкування окремих питань співробітництва територіальних громад»</w:t>
      </w:r>
    </w:p>
    <w:p w:rsidR="00A311D7" w:rsidRPr="001B4A5B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1D7" w:rsidRPr="001B4A5B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5B">
        <w:rPr>
          <w:rFonts w:ascii="Times New Roman" w:hAnsi="Times New Roman" w:cs="Times New Roman"/>
          <w:bCs/>
          <w:sz w:val="28"/>
          <w:szCs w:val="28"/>
        </w:rPr>
        <w:t>У Головному управлінні розглянуто поданий законопроект, яким пропонуються деякі зміни до Закону України «Про співробітництво територіальних громад» (далі - Закон).</w:t>
      </w:r>
    </w:p>
    <w:p w:rsidR="00A311D7" w:rsidRPr="001E33CD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5B">
        <w:rPr>
          <w:rFonts w:ascii="Times New Roman" w:hAnsi="Times New Roman" w:cs="Times New Roman"/>
          <w:bCs/>
          <w:sz w:val="28"/>
          <w:szCs w:val="28"/>
        </w:rPr>
        <w:t xml:space="preserve">Метою проекту є «удосконалення порядку укладення договорів про співробітництво територіальних громад, надання можливості приєднуватися до вже організованого співробітництва за спрощеною процедурою, що сприятиме </w:t>
      </w:r>
      <w:r w:rsidRPr="001E33CD">
        <w:rPr>
          <w:rFonts w:ascii="Times New Roman" w:hAnsi="Times New Roman" w:cs="Times New Roman"/>
          <w:bCs/>
          <w:sz w:val="28"/>
          <w:szCs w:val="28"/>
        </w:rPr>
        <w:t>ефективнішій організації міжмуніципального співробітництва та реалізації територіальними громадами спільних проектів для покращення якості надання публічних послуг жителями, розвитку територіальних громад» (п. 1 пояснювальної записки).</w:t>
      </w:r>
    </w:p>
    <w:p w:rsidR="00A311D7" w:rsidRPr="001E33CD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3CD">
        <w:rPr>
          <w:rFonts w:ascii="Times New Roman" w:hAnsi="Times New Roman" w:cs="Times New Roman"/>
          <w:bCs/>
          <w:sz w:val="28"/>
          <w:szCs w:val="28"/>
        </w:rPr>
        <w:t>Законопроект включено до Плану законопроектної роботи Верховної Ради України (п. 163) на 2021 рік, затвердженого постановою Верховної Ради України від 2 лютого 2021 року № 1165-IX.</w:t>
      </w:r>
    </w:p>
    <w:p w:rsidR="00A311D7" w:rsidRPr="001E33CD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3CD">
        <w:rPr>
          <w:rFonts w:ascii="Times New Roman" w:hAnsi="Times New Roman" w:cs="Times New Roman"/>
          <w:bCs/>
          <w:sz w:val="28"/>
          <w:szCs w:val="28"/>
        </w:rPr>
        <w:t>За результатами аналізу поданого законопроекту Головне управління вважає за необхідне висловити наступні міркування і зауваження.</w:t>
      </w:r>
    </w:p>
    <w:p w:rsidR="00A311D7" w:rsidRPr="001E33CD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3C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 Новелами проекту пропонується врегулювати питання приєднання територіальних громад до раніше організованого на договірній основі співробітництва територіальних громад. З цією метою пропонується доповнити Закон низкою приписів щодо укладення додаткового договору про приєднання до організованого співробітництва.</w:t>
      </w:r>
    </w:p>
    <w:p w:rsidR="00A311D7" w:rsidRPr="001B4A5B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3CD">
        <w:rPr>
          <w:rFonts w:ascii="Times New Roman" w:hAnsi="Times New Roman" w:cs="Times New Roman"/>
          <w:bCs/>
          <w:sz w:val="28"/>
          <w:szCs w:val="28"/>
        </w:rPr>
        <w:t>Зокрема, відповідно до нового п. 4 ч. 1 ст. 1 Закону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встановлюється</w:t>
      </w:r>
      <w:r w:rsidRPr="001B4A5B">
        <w:rPr>
          <w:rFonts w:ascii="Times New Roman" w:hAnsi="Times New Roman" w:cs="Times New Roman"/>
          <w:bCs/>
          <w:sz w:val="28"/>
          <w:szCs w:val="28"/>
        </w:rPr>
        <w:t xml:space="preserve">, що </w:t>
      </w:r>
      <w:r w:rsidRPr="001B4A5B">
        <w:rPr>
          <w:rFonts w:ascii="Times New Roman" w:hAnsi="Times New Roman" w:cs="Times New Roman"/>
          <w:bCs/>
          <w:i/>
          <w:sz w:val="28"/>
          <w:szCs w:val="28"/>
        </w:rPr>
        <w:t xml:space="preserve">«додатковий договір про приєднання до організованого  співробітництва </w:t>
      </w:r>
      <w:r w:rsidRPr="001B4A5B">
        <w:rPr>
          <w:rFonts w:ascii="Times New Roman" w:hAnsi="Times New Roman" w:cs="Times New Roman"/>
          <w:bCs/>
          <w:sz w:val="28"/>
          <w:szCs w:val="28"/>
        </w:rPr>
        <w:t xml:space="preserve">- це погоджений усіма учасниками співробітництва </w:t>
      </w:r>
      <w:r w:rsidRPr="001B4A5B">
        <w:rPr>
          <w:rFonts w:ascii="Times New Roman" w:hAnsi="Times New Roman" w:cs="Times New Roman"/>
          <w:bCs/>
          <w:i/>
          <w:sz w:val="28"/>
          <w:szCs w:val="28"/>
        </w:rPr>
        <w:t>додаток</w:t>
      </w:r>
      <w:r w:rsidRPr="001B4A5B">
        <w:rPr>
          <w:rFonts w:ascii="Times New Roman" w:hAnsi="Times New Roman" w:cs="Times New Roman"/>
          <w:bCs/>
          <w:sz w:val="28"/>
          <w:szCs w:val="28"/>
        </w:rPr>
        <w:t xml:space="preserve"> до раніше укладеного договору про співробітництво, відповідно до якого одна чи декілька заінтересованих територіальних громад приєднується до раніше організованого співробітництва </w:t>
      </w:r>
      <w:r w:rsidRPr="001B4A5B">
        <w:rPr>
          <w:rFonts w:ascii="Times New Roman" w:hAnsi="Times New Roman" w:cs="Times New Roman"/>
          <w:bCs/>
          <w:i/>
          <w:sz w:val="28"/>
          <w:szCs w:val="28"/>
        </w:rPr>
        <w:t>і який передбачає зміни певних умов</w:t>
      </w:r>
      <w:r w:rsidRPr="001B4A5B">
        <w:rPr>
          <w:rFonts w:ascii="Times New Roman" w:hAnsi="Times New Roman" w:cs="Times New Roman"/>
          <w:bCs/>
          <w:sz w:val="28"/>
          <w:szCs w:val="28"/>
        </w:rPr>
        <w:t xml:space="preserve"> такого договору в частині розширення території, джерел, обсягів фінансування співробітництва, доповнення інших умов договору без зміни предмета договору та форми співробітництва</w:t>
      </w:r>
      <w:bookmarkStart w:id="0" w:name="_Hlk68780839"/>
      <w:r w:rsidRPr="001B4A5B">
        <w:rPr>
          <w:rFonts w:ascii="Times New Roman" w:hAnsi="Times New Roman" w:cs="Times New Roman"/>
          <w:bCs/>
          <w:sz w:val="28"/>
          <w:szCs w:val="28"/>
        </w:rPr>
        <w:t>».</w:t>
      </w:r>
      <w:bookmarkEnd w:id="0"/>
      <w:r w:rsidRPr="001B4A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11D7" w:rsidRPr="001E33CD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5B">
        <w:rPr>
          <w:rFonts w:ascii="Times New Roman" w:hAnsi="Times New Roman" w:cs="Times New Roman"/>
          <w:bCs/>
          <w:sz w:val="28"/>
          <w:szCs w:val="28"/>
        </w:rPr>
        <w:t>Однак, запропоноване позначення відповідного договору одночасно і як «додаткового договору», і як «додатку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» до раніше укладеного договору, на наш погляд, є необґрунтованим та вноситиме певну плутанину та труднощі при </w:t>
      </w:r>
      <w:r w:rsidRPr="001E33C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правозастосуванні. У цьому контексті звертаємо увагу на існуючу судову практику. Наприклад, Верховний Суд у постанові від 31 травня 2021 року </w:t>
      </w:r>
      <w:r w:rsidRPr="001E33CD">
        <w:rPr>
          <w:rFonts w:ascii="Times New Roman" w:hAnsi="Times New Roman" w:cs="Times New Roman"/>
          <w:bCs/>
          <w:sz w:val="28"/>
          <w:szCs w:val="28"/>
        </w:rPr>
        <w:br/>
        <w:t xml:space="preserve">№ 917/265/18 зазначив, що необхідно розрізняти поняття «додаток до договору» та «додаткова угода до договору». Так, </w:t>
      </w:r>
      <w:r w:rsidRPr="001E33CD">
        <w:rPr>
          <w:rFonts w:ascii="Times New Roman" w:hAnsi="Times New Roman" w:cs="Times New Roman"/>
          <w:bCs/>
          <w:i/>
          <w:sz w:val="28"/>
          <w:szCs w:val="28"/>
        </w:rPr>
        <w:t xml:space="preserve">додаток до договору 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- це документ, який містить доповнення, уточнення, додаткові роз’яснення, пояснення умов договору, перелік конкретних товарів, послуг тощо. Тобто, додаток до договору - це документ, який уточнює або більш детально розкриває зміст договірних умов. Водночас </w:t>
      </w:r>
      <w:r w:rsidRPr="001E33CD">
        <w:rPr>
          <w:rFonts w:ascii="Times New Roman" w:hAnsi="Times New Roman" w:cs="Times New Roman"/>
          <w:bCs/>
          <w:i/>
          <w:sz w:val="28"/>
          <w:szCs w:val="28"/>
        </w:rPr>
        <w:t>додаткова угода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 - є правочином, що вносить зміни до вже існуючого договору</w:t>
      </w:r>
      <w:r w:rsidRPr="001E33CD">
        <w:rPr>
          <w:rFonts w:ascii="Times New Roman" w:hAnsi="Times New Roman" w:cs="Times New Roman"/>
          <w:bCs/>
          <w:sz w:val="28"/>
          <w:szCs w:val="28"/>
          <w:vertAlign w:val="superscript"/>
        </w:rPr>
        <w:footnoteReference w:id="1"/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311D7" w:rsidRPr="001B4A5B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3CD">
        <w:rPr>
          <w:rFonts w:ascii="Times New Roman" w:hAnsi="Times New Roman" w:cs="Times New Roman"/>
          <w:bCs/>
          <w:sz w:val="28"/>
          <w:szCs w:val="28"/>
        </w:rPr>
        <w:t>З огляду на наведене та враховуючи, що згідно проекту додатковий договір передбачає зміну певних умов раніше підписаного договору про організоване співробітництво (новий п. 4 ч. 1 ст. 1), пропонуємо відмовитись</w:t>
      </w:r>
      <w:r w:rsidRPr="001B4A5B">
        <w:rPr>
          <w:rFonts w:ascii="Times New Roman" w:hAnsi="Times New Roman" w:cs="Times New Roman"/>
          <w:bCs/>
          <w:sz w:val="28"/>
          <w:szCs w:val="28"/>
        </w:rPr>
        <w:t xml:space="preserve"> від визначення відповідного договору про приєднання до організованого співробітництва як додатку до договору. </w:t>
      </w:r>
    </w:p>
    <w:p w:rsidR="00A311D7" w:rsidRPr="001E33CD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D7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1B4A5B">
        <w:rPr>
          <w:rFonts w:ascii="Times New Roman" w:hAnsi="Times New Roman" w:cs="Times New Roman"/>
          <w:bCs/>
          <w:sz w:val="28"/>
          <w:szCs w:val="28"/>
        </w:rPr>
        <w:t xml:space="preserve"> Згідно з ч. 1 запропонованої нової ст. 9</w:t>
      </w:r>
      <w:r w:rsidRPr="001B4A5B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1B4A5B">
        <w:rPr>
          <w:rFonts w:ascii="Times New Roman" w:hAnsi="Times New Roman" w:cs="Times New Roman"/>
          <w:bCs/>
          <w:sz w:val="28"/>
          <w:szCs w:val="28"/>
        </w:rPr>
        <w:t xml:space="preserve"> Закону «додатковий договір про приєднання до організованого співробітництва </w:t>
      </w:r>
      <w:r w:rsidRPr="001B4A5B">
        <w:rPr>
          <w:rFonts w:ascii="Times New Roman" w:hAnsi="Times New Roman" w:cs="Times New Roman"/>
          <w:bCs/>
          <w:i/>
          <w:sz w:val="28"/>
          <w:szCs w:val="28"/>
        </w:rPr>
        <w:t>укладається</w:t>
      </w:r>
      <w:r w:rsidRPr="001B4A5B">
        <w:rPr>
          <w:rFonts w:ascii="Times New Roman" w:hAnsi="Times New Roman" w:cs="Times New Roman"/>
          <w:bCs/>
          <w:sz w:val="28"/>
          <w:szCs w:val="28"/>
        </w:rPr>
        <w:t xml:space="preserve"> в письмовій формі сільськими, селищними, міськими головами </w:t>
      </w:r>
      <w:r w:rsidRPr="001B4A5B">
        <w:rPr>
          <w:rFonts w:ascii="Times New Roman" w:hAnsi="Times New Roman" w:cs="Times New Roman"/>
          <w:bCs/>
          <w:i/>
          <w:sz w:val="28"/>
          <w:szCs w:val="28"/>
        </w:rPr>
        <w:t>після схвалення його проекту відповідними сільськими, селищними, міськими радами</w:t>
      </w:r>
      <w:r w:rsidRPr="001B4A5B">
        <w:rPr>
          <w:rFonts w:ascii="Times New Roman" w:hAnsi="Times New Roman" w:cs="Times New Roman"/>
          <w:bCs/>
          <w:sz w:val="28"/>
          <w:szCs w:val="28"/>
        </w:rPr>
        <w:t xml:space="preserve">. Після підписання сторонами додаткового договору про приєднання до організованого співробітництва він стає невід’ємною частиною раніше укладеного договору про співробітництво». Вважаємо за доцільне уточнити у наведеному приписі, що проект договору має бути схвалений всіма сільськими, селищними, міськими радами, які раніше підписали договір про співробітництво до якого укладається додатковий договір. Варто також встановити правові наслідки у разі негативного 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рішення будь-якої </w:t>
      </w:r>
      <w:r w:rsidR="00F70AA3" w:rsidRPr="001E33CD">
        <w:rPr>
          <w:rFonts w:ascii="Times New Roman" w:hAnsi="Times New Roman" w:cs="Times New Roman"/>
          <w:bCs/>
          <w:sz w:val="28"/>
          <w:szCs w:val="28"/>
        </w:rPr>
        <w:t>зі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 згаданих рад щодо схвалення додаткового договору. </w:t>
      </w:r>
    </w:p>
    <w:p w:rsidR="00A311D7" w:rsidRPr="001E33CD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3C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 Відповідно до ч. 1 запропонованої нової ст. 9</w:t>
      </w:r>
      <w:r w:rsidRPr="001E33CD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 Закону «ініціювання приєднання до організованого співробітництва, переговори про його здійснення, підготовка, громадське обговорення, схвалення проекту додаткового договору про приєднання до організованого співробітництва здійснюються територіальною громадою, яка приєднується до організованого співробітництва, в порядку, передбаченому статтями 5-8 цього Закону». Одночасно у ч. 2 цієї статті передбачено, що «під час підготовки додаткового договору про приєднання до організованого співробітництва </w:t>
      </w:r>
      <w:r w:rsidRPr="001E33CD">
        <w:rPr>
          <w:rFonts w:ascii="Times New Roman" w:hAnsi="Times New Roman" w:cs="Times New Roman"/>
          <w:bCs/>
          <w:i/>
          <w:sz w:val="28"/>
          <w:szCs w:val="28"/>
        </w:rPr>
        <w:t>можуть не застосовуватися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 норми частини другої статті 6 цього Закону щодо необхідності проведення громадського обговорення отриманої пропозиції». Запропоноване уточнення щодо можливості </w:t>
      </w:r>
      <w:proofErr w:type="spellStart"/>
      <w:r w:rsidRPr="001E33CD">
        <w:rPr>
          <w:rFonts w:ascii="Times New Roman" w:hAnsi="Times New Roman" w:cs="Times New Roman"/>
          <w:bCs/>
          <w:sz w:val="28"/>
          <w:szCs w:val="28"/>
        </w:rPr>
        <w:t>непроведення</w:t>
      </w:r>
      <w:proofErr w:type="spellEnd"/>
      <w:r w:rsidRPr="001E33CD">
        <w:rPr>
          <w:rFonts w:ascii="Times New Roman" w:hAnsi="Times New Roman" w:cs="Times New Roman"/>
          <w:bCs/>
          <w:sz w:val="28"/>
          <w:szCs w:val="28"/>
        </w:rPr>
        <w:t xml:space="preserve"> громадського обговорення виглядає досить сумнівним. Адже у проекті не визначаються правові підстави прийняття відповідного рішення, що на практиці призводитиме до повного ігнорування проведення громадських слухань у відповідних </w:t>
      </w:r>
      <w:r w:rsidR="00F70AA3" w:rsidRPr="001E33CD">
        <w:rPr>
          <w:rFonts w:ascii="Times New Roman" w:hAnsi="Times New Roman" w:cs="Times New Roman"/>
          <w:bCs/>
          <w:sz w:val="28"/>
          <w:szCs w:val="28"/>
        </w:rPr>
        <w:t xml:space="preserve">випадках. Натомість, 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положення законодавчих актів не повинні, на наш погляд, визначати повноваження органів публічної влади, виконання яких не є обов’язковим для них. </w:t>
      </w:r>
    </w:p>
    <w:p w:rsidR="00A311D7" w:rsidRPr="001B4A5B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3C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Крім того, варто звернути увагу, що ні в приписах проекту, ні в чинних нормах Закону, до якого пропонуються зміни, а також Закону України </w:t>
      </w:r>
      <w:r w:rsidR="00F70AA3" w:rsidRPr="001E33CD">
        <w:rPr>
          <w:rFonts w:ascii="Times New Roman" w:hAnsi="Times New Roman" w:cs="Times New Roman"/>
          <w:bCs/>
          <w:sz w:val="28"/>
          <w:szCs w:val="28"/>
        </w:rPr>
        <w:br/>
      </w:r>
      <w:r w:rsidRPr="001E33CD">
        <w:rPr>
          <w:rFonts w:ascii="Times New Roman" w:hAnsi="Times New Roman" w:cs="Times New Roman"/>
          <w:bCs/>
          <w:sz w:val="28"/>
          <w:szCs w:val="28"/>
        </w:rPr>
        <w:t>«Про місцеве самоврядування в Україні» чітко не визначаються правила проведення громадських обговорень як форми місцевої демократії. Отже, юридична мета</w:t>
      </w:r>
      <w:r w:rsidRPr="001B4A5B">
        <w:rPr>
          <w:rFonts w:ascii="Times New Roman" w:hAnsi="Times New Roman" w:cs="Times New Roman"/>
          <w:bCs/>
          <w:sz w:val="28"/>
          <w:szCs w:val="28"/>
        </w:rPr>
        <w:t xml:space="preserve"> та зміст відповідних дій місцевої влади при укладанні угод про співробітництво територіальних громад, зміст та обсяг прав учасників громадських обговорень є незрозумілими і потребують уточнення. </w:t>
      </w:r>
    </w:p>
    <w:p w:rsidR="00A311D7" w:rsidRPr="001E33CD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D7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E33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 У проекті пропонується у новій частині 3 ст.</w:t>
      </w:r>
      <w:r w:rsidR="00F70AA3" w:rsidRPr="001E33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33CD">
        <w:rPr>
          <w:rFonts w:ascii="Times New Roman" w:hAnsi="Times New Roman" w:cs="Times New Roman"/>
          <w:bCs/>
          <w:sz w:val="28"/>
          <w:szCs w:val="28"/>
        </w:rPr>
        <w:t>8 Закону передбачити, що «</w:t>
      </w:r>
      <w:r w:rsidR="00F70AA3" w:rsidRPr="001E33CD">
        <w:rPr>
          <w:rFonts w:ascii="Times New Roman" w:hAnsi="Times New Roman" w:cs="Times New Roman"/>
          <w:bCs/>
          <w:i/>
          <w:sz w:val="28"/>
          <w:szCs w:val="28"/>
        </w:rPr>
        <w:t>з</w:t>
      </w:r>
      <w:r w:rsidRPr="001E33CD">
        <w:rPr>
          <w:rFonts w:ascii="Times New Roman" w:hAnsi="Times New Roman" w:cs="Times New Roman"/>
          <w:bCs/>
          <w:i/>
          <w:sz w:val="28"/>
          <w:szCs w:val="28"/>
        </w:rPr>
        <w:t>асідання комісії, громадські обговорення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 пропозиції про початок переговорів з питань організації співробітництва, приєднання до організованого співробітництва та громадські обговорення підготовленого комісією проекту договору про співробітництво, додаткового договору про приєднання до організованого співробітництва </w:t>
      </w:r>
      <w:r w:rsidRPr="001E33CD">
        <w:rPr>
          <w:rFonts w:ascii="Times New Roman" w:hAnsi="Times New Roman" w:cs="Times New Roman"/>
          <w:bCs/>
          <w:i/>
          <w:sz w:val="28"/>
          <w:szCs w:val="28"/>
        </w:rPr>
        <w:t>можуть проводитися дистанційно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 в режимі </w:t>
      </w:r>
      <w:proofErr w:type="spellStart"/>
      <w:r w:rsidRPr="001E33CD">
        <w:rPr>
          <w:rFonts w:ascii="Times New Roman" w:hAnsi="Times New Roman" w:cs="Times New Roman"/>
          <w:bCs/>
          <w:sz w:val="28"/>
          <w:szCs w:val="28"/>
        </w:rPr>
        <w:t>відеоконференції</w:t>
      </w:r>
      <w:proofErr w:type="spellEnd"/>
      <w:r w:rsidRPr="001E33CD">
        <w:rPr>
          <w:rFonts w:ascii="Times New Roman" w:hAnsi="Times New Roman" w:cs="Times New Roman"/>
          <w:bCs/>
          <w:sz w:val="28"/>
          <w:szCs w:val="28"/>
        </w:rPr>
        <w:t xml:space="preserve"> або </w:t>
      </w:r>
      <w:proofErr w:type="spellStart"/>
      <w:r w:rsidRPr="001E33CD">
        <w:rPr>
          <w:rFonts w:ascii="Times New Roman" w:hAnsi="Times New Roman" w:cs="Times New Roman"/>
          <w:bCs/>
          <w:sz w:val="28"/>
          <w:szCs w:val="28"/>
        </w:rPr>
        <w:t>аудіоконференції</w:t>
      </w:r>
      <w:proofErr w:type="spellEnd"/>
      <w:r w:rsidRPr="001E33CD">
        <w:rPr>
          <w:rFonts w:ascii="Times New Roman" w:hAnsi="Times New Roman" w:cs="Times New Roman"/>
          <w:bCs/>
          <w:sz w:val="28"/>
          <w:szCs w:val="28"/>
        </w:rPr>
        <w:t xml:space="preserve"> (дистанційні засідання комісії, дистанційні громадські обговорення) за умови наявності технічної можливості». Разом з тим, правові підстави застосування дистанційної форми проведення відповідних заходів у проекті не визначаються, що дозволятиме їх організаторам вирішувати ці питання на власний розсуд, з чим не можна погодитись.   </w:t>
      </w:r>
    </w:p>
    <w:p w:rsidR="00A311D7" w:rsidRPr="001B4A5B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3CD">
        <w:rPr>
          <w:rFonts w:ascii="Times New Roman" w:hAnsi="Times New Roman" w:cs="Times New Roman"/>
          <w:bCs/>
          <w:sz w:val="28"/>
          <w:szCs w:val="28"/>
        </w:rPr>
        <w:t>У запропонованій новій ч</w:t>
      </w:r>
      <w:r w:rsidR="00F70AA3" w:rsidRPr="001E33CD">
        <w:rPr>
          <w:rFonts w:ascii="Times New Roman" w:hAnsi="Times New Roman" w:cs="Times New Roman"/>
          <w:bCs/>
          <w:sz w:val="28"/>
          <w:szCs w:val="28"/>
        </w:rPr>
        <w:t xml:space="preserve">астині </w:t>
      </w:r>
      <w:r w:rsidRPr="001E33CD">
        <w:rPr>
          <w:rFonts w:ascii="Times New Roman" w:hAnsi="Times New Roman" w:cs="Times New Roman"/>
          <w:bCs/>
          <w:sz w:val="28"/>
          <w:szCs w:val="28"/>
        </w:rPr>
        <w:t>3 ст. 8 Закону також передбачається, що «</w:t>
      </w:r>
      <w:r w:rsidR="00F70AA3" w:rsidRPr="001E33CD">
        <w:rPr>
          <w:rFonts w:ascii="Times New Roman" w:hAnsi="Times New Roman" w:cs="Times New Roman"/>
          <w:bCs/>
          <w:sz w:val="28"/>
          <w:szCs w:val="28"/>
        </w:rPr>
        <w:t>п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орядок проведення дистанційних засідань комісії, дистанційних громадських обговорень визначається </w:t>
      </w:r>
      <w:r w:rsidRPr="001E33CD">
        <w:rPr>
          <w:rFonts w:ascii="Times New Roman" w:hAnsi="Times New Roman" w:cs="Times New Roman"/>
          <w:bCs/>
          <w:i/>
          <w:sz w:val="28"/>
          <w:szCs w:val="28"/>
        </w:rPr>
        <w:t xml:space="preserve">відповідним сільським, селищним, міським головою або особою, яка виконує його повноваження…». </w:t>
      </w:r>
      <w:r w:rsidRPr="001E33CD">
        <w:rPr>
          <w:rFonts w:ascii="Times New Roman" w:hAnsi="Times New Roman" w:cs="Times New Roman"/>
          <w:bCs/>
          <w:sz w:val="28"/>
          <w:szCs w:val="28"/>
        </w:rPr>
        <w:t>Зазначений підхід викликає заперечення, адже, по-перше, наділення зазначених посадових осіб повноваженнями щодо нормативно-правового регулювання питань місцевого значення недостатньо узгоджується з їх правовим статусом. По-друге, діяльність відповідних комісій наразі регулюється положеннями Закону, у ст. 7 якого в принципі не передбачається можливості нормативного регулювання питань діяльності комісії на підзаконному рівні. Крім того</w:t>
      </w:r>
      <w:r w:rsidR="00F70AA3" w:rsidRPr="001E33CD">
        <w:rPr>
          <w:rFonts w:ascii="Times New Roman" w:hAnsi="Times New Roman" w:cs="Times New Roman"/>
          <w:bCs/>
          <w:sz w:val="28"/>
          <w:szCs w:val="28"/>
        </w:rPr>
        <w:t>,</w:t>
      </w:r>
      <w:r w:rsidRPr="001E33CD">
        <w:rPr>
          <w:rFonts w:ascii="Times New Roman" w:hAnsi="Times New Roman" w:cs="Times New Roman"/>
          <w:bCs/>
          <w:sz w:val="28"/>
          <w:szCs w:val="28"/>
        </w:rPr>
        <w:t xml:space="preserve"> з тексту проекту не зрозуміло про якого саме сільського, селищного, міського голову</w:t>
      </w:r>
      <w:r w:rsidRPr="001B4A5B">
        <w:rPr>
          <w:rFonts w:ascii="Times New Roman" w:hAnsi="Times New Roman" w:cs="Times New Roman"/>
          <w:bCs/>
          <w:sz w:val="28"/>
          <w:szCs w:val="28"/>
        </w:rPr>
        <w:t xml:space="preserve"> або особу, яка виконує його повноваження, йдеться. Адже відповідні комісії є незалежними суб’єктами, склад яких «затверджується спільним розпорядженням сільських, селищних, міських голів, що представляють територіальні громади - суб’єктів співробітництва»(ч.</w:t>
      </w:r>
      <w:r w:rsidR="00F70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A5B">
        <w:rPr>
          <w:rFonts w:ascii="Times New Roman" w:hAnsi="Times New Roman" w:cs="Times New Roman"/>
          <w:bCs/>
          <w:sz w:val="28"/>
          <w:szCs w:val="28"/>
        </w:rPr>
        <w:t>1 ст.</w:t>
      </w:r>
      <w:r w:rsidR="00F70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A5B">
        <w:rPr>
          <w:rFonts w:ascii="Times New Roman" w:hAnsi="Times New Roman" w:cs="Times New Roman"/>
          <w:bCs/>
          <w:sz w:val="28"/>
          <w:szCs w:val="28"/>
        </w:rPr>
        <w:t xml:space="preserve">7 Закону), жодний з місцевих голів (осіб, що виконують їх повноваження) не наділений окремою адміністративною владою по відношенню до відповідної комісії. </w:t>
      </w:r>
    </w:p>
    <w:p w:rsidR="00A311D7" w:rsidRPr="001B4A5B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p w:rsidR="00A311D7" w:rsidRPr="001B4A5B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5B">
        <w:rPr>
          <w:rFonts w:ascii="Times New Roman" w:hAnsi="Times New Roman" w:cs="Times New Roman"/>
          <w:bCs/>
          <w:sz w:val="28"/>
          <w:szCs w:val="28"/>
        </w:rPr>
        <w:t xml:space="preserve">Керівник Головного управління                                   </w:t>
      </w:r>
      <w:r w:rsidR="00F70AA3">
        <w:rPr>
          <w:rFonts w:ascii="Times New Roman" w:hAnsi="Times New Roman" w:cs="Times New Roman"/>
          <w:bCs/>
          <w:sz w:val="28"/>
          <w:szCs w:val="28"/>
        </w:rPr>
        <w:tab/>
      </w:r>
      <w:r w:rsidRPr="001B4A5B">
        <w:rPr>
          <w:rFonts w:ascii="Times New Roman" w:hAnsi="Times New Roman" w:cs="Times New Roman"/>
          <w:bCs/>
          <w:sz w:val="28"/>
          <w:szCs w:val="28"/>
        </w:rPr>
        <w:t xml:space="preserve">       С. Тихонюк</w:t>
      </w:r>
    </w:p>
    <w:p w:rsidR="00A311D7" w:rsidRPr="001B4A5B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1D7" w:rsidRPr="001B4A5B" w:rsidRDefault="00A311D7" w:rsidP="00A311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1B4A5B">
        <w:rPr>
          <w:rFonts w:ascii="Times New Roman" w:hAnsi="Times New Roman" w:cs="Times New Roman"/>
          <w:bCs/>
          <w:sz w:val="20"/>
          <w:szCs w:val="20"/>
        </w:rPr>
        <w:t>Вик</w:t>
      </w:r>
      <w:proofErr w:type="spellEnd"/>
      <w:r w:rsidRPr="001B4A5B">
        <w:rPr>
          <w:rFonts w:ascii="Times New Roman" w:hAnsi="Times New Roman" w:cs="Times New Roman"/>
          <w:bCs/>
          <w:sz w:val="20"/>
          <w:szCs w:val="20"/>
        </w:rPr>
        <w:t>. О. Мельник</w:t>
      </w:r>
    </w:p>
    <w:p w:rsidR="00A311D7" w:rsidRDefault="00A311D7" w:rsidP="00A311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11D7" w:rsidRDefault="00A311D7" w:rsidP="00A311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11D7" w:rsidRDefault="00A311D7" w:rsidP="00A311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CB8" w:rsidRDefault="007D4CB8" w:rsidP="00A311D7">
      <w:pPr>
        <w:spacing w:after="0"/>
      </w:pPr>
    </w:p>
    <w:p w:rsidR="006542E5" w:rsidRDefault="006542E5" w:rsidP="00A311D7">
      <w:pPr>
        <w:spacing w:after="0"/>
      </w:pPr>
    </w:p>
    <w:sectPr w:rsidR="006542E5" w:rsidSect="006C3F12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EF9" w:rsidRDefault="00875EF9" w:rsidP="00A311D7">
      <w:pPr>
        <w:spacing w:after="0" w:line="240" w:lineRule="auto"/>
      </w:pPr>
      <w:r>
        <w:separator/>
      </w:r>
    </w:p>
  </w:endnote>
  <w:endnote w:type="continuationSeparator" w:id="0">
    <w:p w:rsidR="00875EF9" w:rsidRDefault="00875EF9" w:rsidP="00A3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EF9" w:rsidRDefault="00875EF9" w:rsidP="00A311D7">
      <w:pPr>
        <w:spacing w:after="0" w:line="240" w:lineRule="auto"/>
      </w:pPr>
      <w:r>
        <w:separator/>
      </w:r>
    </w:p>
  </w:footnote>
  <w:footnote w:type="continuationSeparator" w:id="0">
    <w:p w:rsidR="00875EF9" w:rsidRDefault="00875EF9" w:rsidP="00A311D7">
      <w:pPr>
        <w:spacing w:after="0" w:line="240" w:lineRule="auto"/>
      </w:pPr>
      <w:r>
        <w:continuationSeparator/>
      </w:r>
    </w:p>
  </w:footnote>
  <w:footnote w:id="1">
    <w:p w:rsidR="00A311D7" w:rsidRPr="00F70AA3" w:rsidRDefault="00A311D7" w:rsidP="00A311D7">
      <w:pPr>
        <w:pStyle w:val="a7"/>
        <w:ind w:left="284"/>
        <w:rPr>
          <w:rFonts w:ascii="Times New Roman" w:hAnsi="Times New Roman" w:cs="Times New Roman"/>
        </w:rPr>
      </w:pPr>
      <w:r w:rsidRPr="001E33CD">
        <w:rPr>
          <w:rStyle w:val="a9"/>
          <w:rFonts w:ascii="Times New Roman" w:hAnsi="Times New Roman" w:cs="Times New Roman"/>
        </w:rPr>
        <w:footnoteRef/>
      </w:r>
      <w:r w:rsidRPr="001E33CD">
        <w:rPr>
          <w:rFonts w:ascii="Times New Roman" w:hAnsi="Times New Roman" w:cs="Times New Roman"/>
        </w:rPr>
        <w:t xml:space="preserve"> </w:t>
      </w:r>
      <w:r w:rsidR="00F70AA3" w:rsidRPr="001E33CD">
        <w:rPr>
          <w:rFonts w:ascii="Times New Roman" w:hAnsi="Times New Roman" w:cs="Times New Roman"/>
          <w:lang w:val="en-US"/>
        </w:rPr>
        <w:t xml:space="preserve">URL: </w:t>
      </w:r>
      <w:r w:rsidRPr="001E33CD">
        <w:rPr>
          <w:rFonts w:ascii="Times New Roman" w:hAnsi="Times New Roman" w:cs="Times New Roman"/>
        </w:rPr>
        <w:t>https://biz.ligazakon.net/news/204543_vs-vdpovv-u-chomu-rznitsya-mzh-dodatkom-do-dogovoru-ta-dodatkovoyu-ugodoyu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543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93E37" w:rsidRPr="00424368" w:rsidRDefault="00737115" w:rsidP="0042436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37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37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37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56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37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7EA" w:rsidRPr="00A72CB9" w:rsidRDefault="00737115" w:rsidP="001B4A5B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5C37EA">
      <w:rPr>
        <w:rFonts w:ascii="Times New Roman" w:hAnsi="Times New Roman" w:cs="Times New Roman"/>
        <w:sz w:val="20"/>
        <w:szCs w:val="20"/>
      </w:rPr>
      <w:t xml:space="preserve">До </w:t>
    </w:r>
    <w:r w:rsidRPr="00A72CB9">
      <w:rPr>
        <w:rFonts w:ascii="Times New Roman" w:hAnsi="Times New Roman" w:cs="Times New Roman"/>
        <w:sz w:val="20"/>
        <w:szCs w:val="20"/>
      </w:rPr>
      <w:t>реєстр.</w:t>
    </w:r>
    <w:r w:rsidRPr="00A72CB9">
      <w:rPr>
        <w:rFonts w:ascii="Times New Roman" w:hAnsi="Times New Roman" w:cs="Times New Roman"/>
        <w:sz w:val="20"/>
        <w:szCs w:val="20"/>
        <w:lang w:val="ru-RU"/>
      </w:rPr>
      <w:t xml:space="preserve"> </w:t>
    </w:r>
    <w:r>
      <w:rPr>
        <w:rFonts w:ascii="Times New Roman" w:hAnsi="Times New Roman" w:cs="Times New Roman"/>
        <w:sz w:val="20"/>
        <w:szCs w:val="20"/>
      </w:rPr>
      <w:t>№ 5742 від 08.</w:t>
    </w:r>
    <w:r w:rsidRPr="00A72CB9">
      <w:rPr>
        <w:rFonts w:ascii="Times New Roman" w:hAnsi="Times New Roman" w:cs="Times New Roman"/>
        <w:sz w:val="20"/>
        <w:szCs w:val="20"/>
      </w:rPr>
      <w:t>07.2021</w:t>
    </w:r>
  </w:p>
  <w:p w:rsidR="002D5916" w:rsidRPr="002D5916" w:rsidRDefault="00737115" w:rsidP="001B4A5B">
    <w:pPr>
      <w:pStyle w:val="a3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Кабінет Міністрів України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D7"/>
    <w:rsid w:val="001265C1"/>
    <w:rsid w:val="001E33CD"/>
    <w:rsid w:val="00265853"/>
    <w:rsid w:val="005435CC"/>
    <w:rsid w:val="006542E5"/>
    <w:rsid w:val="00737115"/>
    <w:rsid w:val="007D4CB8"/>
    <w:rsid w:val="00875EF9"/>
    <w:rsid w:val="00934692"/>
    <w:rsid w:val="00A311D7"/>
    <w:rsid w:val="00CA7F64"/>
    <w:rsid w:val="00F70AA3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D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311D7"/>
    <w:rPr>
      <w:rFonts w:asciiTheme="minorHAnsi" w:hAnsiTheme="minorHAnsi" w:cstheme="minorBidi"/>
      <w:sz w:val="22"/>
    </w:rPr>
  </w:style>
  <w:style w:type="paragraph" w:styleId="a5">
    <w:name w:val="footer"/>
    <w:basedOn w:val="a"/>
    <w:link w:val="a6"/>
    <w:uiPriority w:val="99"/>
    <w:unhideWhenUsed/>
    <w:rsid w:val="00A31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311D7"/>
    <w:rPr>
      <w:rFonts w:asciiTheme="minorHAnsi" w:hAnsiTheme="minorHAnsi" w:cstheme="minorBidi"/>
      <w:sz w:val="22"/>
    </w:rPr>
  </w:style>
  <w:style w:type="paragraph" w:styleId="a7">
    <w:name w:val="footnote text"/>
    <w:basedOn w:val="a"/>
    <w:link w:val="a8"/>
    <w:uiPriority w:val="99"/>
    <w:semiHidden/>
    <w:unhideWhenUsed/>
    <w:rsid w:val="00A311D7"/>
    <w:pPr>
      <w:spacing w:after="0" w:line="240" w:lineRule="auto"/>
    </w:pPr>
    <w:rPr>
      <w:sz w:val="20"/>
      <w:szCs w:val="20"/>
    </w:rPr>
  </w:style>
  <w:style w:type="character" w:customStyle="1" w:styleId="a8">
    <w:name w:val="Текст виноски Знак"/>
    <w:basedOn w:val="a0"/>
    <w:link w:val="a7"/>
    <w:uiPriority w:val="99"/>
    <w:semiHidden/>
    <w:rsid w:val="00A311D7"/>
    <w:rPr>
      <w:rFonts w:asciiTheme="minorHAnsi" w:hAnsiTheme="minorHAnsi" w:cstheme="minorBidi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311D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31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31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4930</Words>
  <Characters>2811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2021-08-27T12:23:00Z</dcterms:created>
  <dcterms:modified xsi:type="dcterms:W3CDTF">2021-08-27T12:26:00Z</dcterms:modified>
</cp:coreProperties>
</file>